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24B39" w14:textId="77777777" w:rsidR="00FE7959" w:rsidRDefault="0039122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198"/>
          <w:tab w:val="left" w:pos="6435"/>
        </w:tabs>
        <w:spacing w:line="240" w:lineRule="auto"/>
        <w:ind w:left="0" w:hanging="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2BCE23B3" wp14:editId="1E3C601F">
            <wp:extent cx="6736080" cy="3368040"/>
            <wp:effectExtent l="0" t="0" r="0" b="0"/>
            <wp:docPr id="103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36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CD41A" w14:textId="77777777" w:rsidR="00FE7959" w:rsidRDefault="00FE7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B04758"/>
          <w:sz w:val="20"/>
          <w:szCs w:val="20"/>
        </w:rPr>
      </w:pPr>
    </w:p>
    <w:p w14:paraId="6D61AFCD" w14:textId="77777777" w:rsidR="00FE7959" w:rsidRDefault="003912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Arial" w:eastAsia="Arial" w:hAnsi="Arial" w:cs="Arial"/>
          <w:color w:val="B04758"/>
          <w:sz w:val="28"/>
          <w:szCs w:val="28"/>
        </w:rPr>
      </w:pPr>
      <w:r>
        <w:rPr>
          <w:rFonts w:ascii="Arial" w:eastAsia="Arial" w:hAnsi="Arial" w:cs="Arial"/>
          <w:b/>
          <w:bCs/>
          <w:color w:val="B04758"/>
          <w:sz w:val="28"/>
          <w:szCs w:val="28"/>
        </w:rPr>
        <w:t>Магия Узбекистана</w:t>
      </w:r>
    </w:p>
    <w:p w14:paraId="57A23AD1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Экскурсионный тур в Узбекистан: красота Чимганских гор, очарование Ташкента, </w:t>
      </w:r>
    </w:p>
    <w:p w14:paraId="05B73AC6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грандиозная архитектура Самарканда, Бухары и Хивы</w:t>
      </w:r>
    </w:p>
    <w:p w14:paraId="61565F0C" w14:textId="77777777" w:rsidR="00FE7959" w:rsidRDefault="00FE7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9893423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Страна: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Узбекистан</w:t>
      </w:r>
    </w:p>
    <w:p w14:paraId="2FA20852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Продолжительность тура: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12 дней / 11 ночей</w:t>
      </w:r>
    </w:p>
    <w:p w14:paraId="7625F0F3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rPr>
          <w:rFonts w:ascii="Arial" w:eastAsia="Arial" w:hAnsi="Arial" w:cs="Arial"/>
          <w:color w:val="3333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Маршрут: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333300"/>
          <w:sz w:val="20"/>
          <w:szCs w:val="20"/>
        </w:rPr>
        <w:t>Ташкент – гелиокомплекс “Физика-Солнце” – Чимганские горы – Чарвакское водохранилище – Ташкент – Самарканд – Гиждуван – Бухара – Хива – Ургенч</w:t>
      </w:r>
    </w:p>
    <w:p w14:paraId="28999F34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tabs>
          <w:tab w:val="left" w:pos="3210"/>
        </w:tabs>
        <w:spacing w:line="240" w:lineRule="auto"/>
        <w:ind w:left="0" w:hanging="2"/>
        <w:rPr>
          <w:rFonts w:ascii="Arial" w:eastAsia="Arial" w:hAnsi="Arial" w:cs="Arial"/>
          <w:color w:val="333300"/>
          <w:sz w:val="20"/>
          <w:szCs w:val="20"/>
        </w:rPr>
      </w:pPr>
    </w:p>
    <w:p w14:paraId="287D4A5C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0" w:hanging="2"/>
        <w:jc w:val="center"/>
        <w:rPr>
          <w:rFonts w:ascii="Arial" w:eastAsia="Arial" w:hAnsi="Arial" w:cs="Arial"/>
          <w:color w:val="B04758"/>
        </w:rPr>
      </w:pPr>
      <w:r>
        <w:rPr>
          <w:rFonts w:ascii="Arial" w:eastAsia="Arial" w:hAnsi="Arial" w:cs="Arial"/>
          <w:b/>
          <w:bCs/>
          <w:color w:val="B04758"/>
        </w:rPr>
        <w:t xml:space="preserve">Гарантированные даты группового тура на 2026: </w:t>
      </w:r>
    </w:p>
    <w:tbl>
      <w:tblPr>
        <w:tblStyle w:val="af0"/>
        <w:tblW w:w="7654" w:type="dxa"/>
        <w:tblInd w:w="1560" w:type="dxa"/>
        <w:tblLayout w:type="fixed"/>
        <w:tblLook w:val="0000" w:firstRow="0" w:lastRow="0" w:firstColumn="0" w:lastColumn="0" w:noHBand="0" w:noVBand="0"/>
      </w:tblPr>
      <w:tblGrid>
        <w:gridCol w:w="3827"/>
        <w:gridCol w:w="3827"/>
      </w:tblGrid>
      <w:tr w:rsidR="00FE7959" w14:paraId="40917E02" w14:textId="77777777">
        <w:tc>
          <w:tcPr>
            <w:tcW w:w="3827" w:type="dxa"/>
          </w:tcPr>
          <w:p w14:paraId="699A754D" w14:textId="77777777" w:rsidR="00FE7959" w:rsidRDefault="00FE7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</w:pPr>
          </w:p>
          <w:p w14:paraId="6592E88E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  <w:t xml:space="preserve">Группа №01: </w:t>
            </w:r>
            <w:r>
              <w:rPr>
                <w:rFonts w:ascii="Arial" w:eastAsia="Arial" w:hAnsi="Arial" w:cs="Arial"/>
                <w:b/>
                <w:bCs/>
                <w:strike/>
                <w:color w:val="B04758"/>
                <w:sz w:val="22"/>
                <w:szCs w:val="22"/>
              </w:rPr>
              <w:t>30.03–10.04.2026</w:t>
            </w:r>
          </w:p>
          <w:p w14:paraId="4FF08AC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  <w:t xml:space="preserve">Группа №02: </w:t>
            </w:r>
            <w:r>
              <w:rPr>
                <w:rFonts w:ascii="Arial" w:eastAsia="Arial" w:hAnsi="Arial" w:cs="Arial"/>
                <w:b/>
                <w:bCs/>
                <w:strike/>
                <w:color w:val="B04758"/>
                <w:sz w:val="22"/>
                <w:szCs w:val="22"/>
              </w:rPr>
              <w:t>29.04–10.05.2026</w:t>
            </w:r>
          </w:p>
          <w:p w14:paraId="5A0872B8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  <w:t xml:space="preserve">Группа №03: </w:t>
            </w:r>
            <w:r>
              <w:rPr>
                <w:rFonts w:ascii="Arial" w:eastAsia="Arial" w:hAnsi="Arial" w:cs="Arial"/>
                <w:b/>
                <w:bCs/>
                <w:strike/>
                <w:color w:val="B04758"/>
                <w:sz w:val="22"/>
                <w:szCs w:val="22"/>
              </w:rPr>
              <w:t>23.05–03.06.2026</w:t>
            </w:r>
          </w:p>
          <w:p w14:paraId="1125DDCE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strike/>
                <w:color w:val="B04758"/>
                <w:sz w:val="22"/>
                <w:szCs w:val="22"/>
              </w:rPr>
              <w:t xml:space="preserve">Группа №04: </w:t>
            </w:r>
            <w:r>
              <w:rPr>
                <w:rFonts w:ascii="Arial" w:eastAsia="Arial" w:hAnsi="Arial" w:cs="Arial"/>
                <w:b/>
                <w:bCs/>
                <w:strike/>
                <w:color w:val="B04758"/>
                <w:sz w:val="22"/>
                <w:szCs w:val="22"/>
              </w:rPr>
              <w:t>08.06–19.06.2026</w:t>
            </w:r>
          </w:p>
          <w:p w14:paraId="74BADCF5" w14:textId="77777777" w:rsidR="00FE7959" w:rsidRDefault="00FE7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</w:p>
        </w:tc>
        <w:tc>
          <w:tcPr>
            <w:tcW w:w="3827" w:type="dxa"/>
          </w:tcPr>
          <w:p w14:paraId="3FBB9AE4" w14:textId="77777777" w:rsidR="00FE7959" w:rsidRDefault="00FE7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</w:p>
          <w:p w14:paraId="1B31E84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№05: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19.08–30.08.2026</w:t>
            </w:r>
          </w:p>
          <w:p w14:paraId="64A8E89F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№06: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21.09–02.10.2026</w:t>
            </w:r>
          </w:p>
          <w:p w14:paraId="3EF10D2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№07: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05.10–16.10.2026</w:t>
            </w:r>
          </w:p>
        </w:tc>
      </w:tr>
    </w:tbl>
    <w:p w14:paraId="289BF675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24AB748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Во время этого тура мы исследуем самые яркие грани Узбекистана: тишину гор и шум восточных базаров, бодрый современный мегаполис Ташкент и аутентичные тихие улочки старой Бухары, монументальный Самарканд и сказочную Хиву, вкуснейший ремесленный Гиждуван и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изысканную частную винодельню в пригороде столицы. </w:t>
      </w:r>
    </w:p>
    <w:p w14:paraId="0765F14B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Сначала мы побываем в прекрасных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Чимганских горах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и на курортном побережье чистейшего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Чарвакского водохранилища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поднимемся на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канатной дороге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до высоты 2290 м, откуда открываются потрясающие виды, а такж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е посетим уникальный научный объект, один из двух существующих в мире, –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гелиокомплекс «Физика-Солнце»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где расположен грандиозный параболический гелиоконцентратор. В Ташкенте нас ждет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мастер-класс по керамике </w:t>
      </w:r>
      <w:r>
        <w:rPr>
          <w:rFonts w:ascii="Arial" w:eastAsia="Arial" w:hAnsi="Arial" w:cs="Arial"/>
          <w:color w:val="000000"/>
          <w:sz w:val="20"/>
          <w:szCs w:val="20"/>
        </w:rPr>
        <w:t>в гончарной мастерской.</w:t>
      </w:r>
    </w:p>
    <w:p w14:paraId="6CE67D32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Далее мы погрузимся</w:t>
      </w:r>
      <w:r>
        <w:rPr>
          <w:rFonts w:ascii="Arial" w:eastAsia="Arial" w:hAnsi="Arial" w:cs="Arial"/>
          <w:color w:val="222222"/>
          <w:sz w:val="20"/>
          <w:szCs w:val="20"/>
        </w:rPr>
        <w:t xml:space="preserve"> в </w:t>
      </w:r>
      <w:r>
        <w:rPr>
          <w:rFonts w:ascii="Arial" w:eastAsia="Arial" w:hAnsi="Arial" w:cs="Arial"/>
          <w:color w:val="222222"/>
          <w:sz w:val="20"/>
          <w:szCs w:val="20"/>
        </w:rPr>
        <w:t xml:space="preserve">мир восточной архитектуры самых известных древних городов Узбекистана – </w:t>
      </w:r>
      <w:r>
        <w:rPr>
          <w:rFonts w:ascii="Arial" w:eastAsia="Arial" w:hAnsi="Arial" w:cs="Arial"/>
          <w:i/>
          <w:iCs/>
          <w:color w:val="222222"/>
          <w:sz w:val="20"/>
          <w:szCs w:val="20"/>
        </w:rPr>
        <w:t>Самарканда, Бухары и Хивы</w:t>
      </w:r>
      <w:r>
        <w:rPr>
          <w:rFonts w:ascii="Arial" w:eastAsia="Arial" w:hAnsi="Arial" w:cs="Arial"/>
          <w:color w:val="222222"/>
          <w:sz w:val="20"/>
          <w:szCs w:val="20"/>
        </w:rPr>
        <w:t xml:space="preserve">, достопримечательности которых включены в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список Всемирного наследия </w:t>
      </w:r>
      <w:r>
        <w:rPr>
          <w:rFonts w:ascii="Arial" w:eastAsia="Arial" w:hAnsi="Arial" w:cs="Arial"/>
          <w:smallCaps/>
          <w:color w:val="000000"/>
          <w:sz w:val="20"/>
          <w:szCs w:val="20"/>
        </w:rPr>
        <w:t>ЮНЕСКО.</w:t>
      </w:r>
    </w:p>
    <w:p w14:paraId="615DEBC7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Впустите в свое сердце светлую магию Узбекистана, красоту его городов, теплоту его солнца и доброту людей! </w:t>
      </w:r>
    </w:p>
    <w:tbl>
      <w:tblPr>
        <w:tblStyle w:val="af1"/>
        <w:tblW w:w="10633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1419"/>
        <w:gridCol w:w="9214"/>
      </w:tblGrid>
      <w:tr w:rsidR="00FE7959" w14:paraId="599D8E98" w14:textId="77777777">
        <w:trPr>
          <w:trHeight w:val="1"/>
        </w:trPr>
        <w:tc>
          <w:tcPr>
            <w:tcW w:w="1419" w:type="dxa"/>
            <w:tcBorders>
              <w:top w:val="single" w:sz="4" w:space="0" w:color="C45911"/>
              <w:left w:val="single" w:sz="4" w:space="0" w:color="C45911"/>
              <w:bottom w:val="single" w:sz="4" w:space="0" w:color="C45911"/>
            </w:tcBorders>
            <w:shd w:val="clear" w:color="auto" w:fill="B04758"/>
            <w:vAlign w:val="center"/>
          </w:tcPr>
          <w:p w14:paraId="6B2B0F53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День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  <w:right w:val="single" w:sz="4" w:space="0" w:color="C45911"/>
            </w:tcBorders>
            <w:shd w:val="clear" w:color="auto" w:fill="B04758"/>
            <w:vAlign w:val="center"/>
          </w:tcPr>
          <w:p w14:paraId="6DF7E1C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Программа тура</w:t>
            </w:r>
          </w:p>
        </w:tc>
      </w:tr>
      <w:tr w:rsidR="00FE7959" w14:paraId="145A5C69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0C744E70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 xml:space="preserve">День 1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64F1E3C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Прибытие в Ташкент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EBBE88A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Встреча в аэропорту, размещение в гостинице с 14:00. Свободное время без транспортного и экскурсионного обслуживания. </w:t>
            </w:r>
          </w:p>
          <w:p w14:paraId="79D4C62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Ташкент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многогранная столица современного Узбекистана. Архитектура Ташкента поражает своим разнообразием: археологические памятники вре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мен зороастризма, которым уже более 2200 лет, архитектурные шедевры Средневековья, монументальные здания конца XIX века, самое красивое в мире метро и, разумеется, многочисленные новейшие постройки.</w:t>
            </w:r>
          </w:p>
          <w:p w14:paraId="72C2C61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Рекомендуем совершить прогулку по современной части Ташке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нта.</w:t>
            </w:r>
          </w:p>
          <w:p w14:paraId="35357CC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6000A8D8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0D4053CA" wp14:editId="77DB2DA4">
                  <wp:extent cx="277495" cy="177800"/>
                  <wp:effectExtent l="0" t="0" r="0" b="0"/>
                  <wp:docPr id="10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—</w:t>
            </w:r>
          </w:p>
        </w:tc>
      </w:tr>
      <w:tr w:rsidR="00FE7959" w14:paraId="76376B50" w14:textId="77777777">
        <w:trPr>
          <w:trHeight w:val="1126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6997D7DF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2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01417AE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(экскурсия).</w:t>
            </w:r>
          </w:p>
          <w:p w14:paraId="4814B12E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Экскурсия по Ташкенту (Старый город):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площадь Хаст-Имам – духовный центр Ташкента, где хранится волос Пророка Мухаммеда; медресе Барак-хана, мавзолей Кафал-аль-Шаши Мазар – одни из старейших памятников архитектуры столицы; медресе Кукельдаш – одно из наиболее крупных медресе XVI в., сохранивши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хся в Центральной Азии. Посещение самого оригинального и старинного базара Ташкента – Чорсу.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Здесь под огромным куполом можно приобрести местные продукты, специи, ремесленные изделия и сувениры. В районе Старого города, помимо традиционной восточной архите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ктуры, можно увидеть аутентичные старинные махалли (жилые кварталы) с глинобитными домами, узкими улочками и подлинной атмосферой Старого Ташкента. </w:t>
            </w:r>
          </w:p>
          <w:p w14:paraId="5CDE139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Обед в Центрально-Азиатском центре плова «Беш Козон»,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где каждый день готовят 10 тонн праздничного ташкентс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кого плова в нескольких гигантских казанах. Ташкентский плов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рассыпчатый и ароматный, готовится на открытом огне традиционным способом с перемешиванием всех ингредиентов, с добавлением нута и особого сорта желтой моркови, часто украшается казы или перепе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лиными яйцами.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Рекомендуем кушать плов с салатом из свежих овощей с луком (Ачик-чучук) и запивать горячим чаем.</w:t>
            </w:r>
          </w:p>
          <w:p w14:paraId="4EA18F8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Продолжение экскурсии по городу: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площадь Независимости (арка Эзгуллик, памятник Независимости, монумент Скорбящей Матери и Аллея Памяти), монуме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нт Мужеству, Театральная площадь ГАБТ им. Алишера Навои, обзор снаружи дворца Константина Романова, посещение сквера Амира Темура.</w:t>
            </w:r>
          </w:p>
          <w:p w14:paraId="270BC61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09BB6C53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114300" distR="114300" wp14:anchorId="2E72F4CD" wp14:editId="0B2618A5">
                  <wp:extent cx="273050" cy="177800"/>
                  <wp:effectExtent l="0" t="0" r="0" b="0"/>
                  <wp:docPr id="10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 завтрак, обед</w:t>
            </w:r>
          </w:p>
        </w:tc>
      </w:tr>
      <w:tr w:rsidR="00FE7959" w14:paraId="44E9866F" w14:textId="77777777">
        <w:trPr>
          <w:trHeight w:val="416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471CE0FC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3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39F0066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– гелиокомплекс «Физика-Солнце» – Чимганские горы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(150 км, 3-4 часа)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4831811E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Переезд к уникальному научному объекту 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институту «Физика-Солнце»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расположенному в Паркентском районе Ташкентской области. </w:t>
            </w:r>
          </w:p>
          <w:p w14:paraId="2E33397C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территории гелиокомплекса «Физика-Солнце»: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узнаем всё о работе солнечной лаборатории, почему именно этот район Узбекистана был выбран для строительства знаменитой Солнечной печи – одной из двух, существующих в мире! Увидим вблизи солнечные гел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иостаты, которые направляют лучи на гигантский концентратор, состоящий из 10700 зеркальных элементов. Температура в фокусе лучей концентратора достигает 3000 градусов. </w:t>
            </w:r>
          </w:p>
          <w:p w14:paraId="7E311EDD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Поднимемся на лифте на верхний этаж концентратора, откуда открывается потрясающая панорама на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Чаткальский хребет, Паркентсай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соседние поселки (кишлаки).</w:t>
            </w:r>
          </w:p>
          <w:p w14:paraId="3D79F5CD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Обед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местной чайхане, дегустация знаменитых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паркентских шашлыков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0AD79A8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Переезд в урочище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Чимган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(отроги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Западного Тянь-Шаня) – живописнейшую курортную зону, расположенную в 85 км от Ташкента на высотах 1600-3309 м над уровнем моря. Высшая точка района – вершина Большой Чимган (3309 м), именно ее можно увидеть невооруженным глазом прямо с ташкентских улиц.</w:t>
            </w:r>
          </w:p>
          <w:p w14:paraId="0C4F2953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змещение на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горном курорте «Арчазор»,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находящемся в благоухающем сосновом бору, где мы насладимся потрясающими панорамными видами и прозрачным горным воздухом с целебными ароматами арчи.</w:t>
            </w:r>
          </w:p>
          <w:p w14:paraId="53F0FC30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гостиничном комплексе «Арчазор».</w:t>
            </w:r>
          </w:p>
          <w:p w14:paraId="5F07AFA0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F8C1FF2" wp14:editId="4DB274FC">
                  <wp:extent cx="277495" cy="177800"/>
                  <wp:effectExtent l="0" t="0" r="0" b="0"/>
                  <wp:docPr id="104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завтрак, обед</w:t>
            </w:r>
          </w:p>
        </w:tc>
      </w:tr>
      <w:tr w:rsidR="00FE7959" w14:paraId="310101BA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4DD72D16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 xml:space="preserve">День 4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52E979E3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Чимганские горы – Чарвакское водохранилище – Ташкент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(90 км, 3-4 ч).</w:t>
            </w:r>
          </w:p>
          <w:p w14:paraId="61F5CB9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Переезд к горному курорту «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Амирсой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». Подъем на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смотровую площадку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(2290 м) на современном и комфортабельном канатном подъемнике гондольного типа. С высоты открываются поистине пот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рясающие панорамы на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Чаткальский хребет, Чарвакское водохранилище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знаменитый поселок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Бричмулла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D90165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Обед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 ресторане национальной кухни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«Файз» (или аналогичном)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Дегустация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узбекских шашлыков.</w:t>
            </w:r>
          </w:p>
          <w:p w14:paraId="0BB5706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Прогулка по живописным горным тропам в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Угам-Чаткальском национальном природном парке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Здесь в любое время года красиво и свежо, а чистая энергетика гор наполняет душу восторгом. Мы подойдём к отвесной скале, на которой увидим наскальные рисунки (петроглифы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 – творчество художников глубокой древности. Далее увидим огромную чинару (платан), возраст которой более 800 лет. Небольшая прогулка к горному водопаду.</w:t>
            </w:r>
          </w:p>
          <w:p w14:paraId="4AA5073D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Переезд к побережью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Чарвакского водохранилища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голубой жемчужины Западного Тянь-Шаня. Здесь вас ждет чистейшая вода насыщенного бирюзового цвета, песчаный пляж и развитая курортная инфраструктура. </w:t>
            </w:r>
          </w:p>
          <w:p w14:paraId="38138C5F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Возвращение в Ташкент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60FCF0DA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62B0BAF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523EBADE" wp14:editId="4B93AFE3">
                  <wp:extent cx="277495" cy="177800"/>
                  <wp:effectExtent l="0" t="0" r="0" b="0"/>
                  <wp:docPr id="10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 завтрак, обед</w:t>
            </w:r>
          </w:p>
        </w:tc>
      </w:tr>
      <w:tr w:rsidR="00FE7959" w14:paraId="21D597ED" w14:textId="77777777">
        <w:trPr>
          <w:trHeight w:val="985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0EAC034E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5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8078CCB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(экскурсия).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54B1303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Продолжение экскурсионной программы по Ташкенту: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Римско-Католический Собор, ташкентская телебашня (осмотр снаружи),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красивейшее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ташкентское метро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первый и единственный метрополитен в Центральной Азии. Это настоящий архитектурный музей под землёй: каждая станция – уникальное произведение искусства с индивидуальным тематическим оформлением, в котором искусно использованы мрамор, гранит, художествен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ная керамика (ганч), рельефы, витражи, мозаики, скульптуры.</w:t>
            </w:r>
          </w:p>
          <w:p w14:paraId="2C92D01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Посещение Дома ремесел «Рисола»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экскурсия по музею и мастерским. Здесь собрана уникальная экспозиция керамики из разных регионов Узбекистана, демонстрирующая потрясающее многообразие местных гонч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арных школ.</w:t>
            </w:r>
          </w:p>
          <w:p w14:paraId="1746121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Мастер-класс по приготовлению бухарского плова «Оши-софи»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(в переводе «плов мудрецов» или «чистый плов»), который считается диетическим и отличается особым методом приготовления. Его компоненты сначала варятся до полуготовности, затем слоями ук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ладываются в казан для томления и только в самом конце поливаются кипящим растительным маслом, при этом плов не перемешивают. Для бухарского плова характерно минимальное количество специй, отсутствие чеснока и перца, зато могут добавляться сухофрукты – изю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м, курага и айва.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Обед.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62FFED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Свободное время.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Рекомендуем посетить:</w:t>
            </w:r>
          </w:p>
          <w:p w14:paraId="2A50C18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- Парк «Анхор»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 его этнографическую часть с магазинами современных дизайнеров одежды, украшений и посуды.</w:t>
            </w:r>
          </w:p>
          <w:p w14:paraId="771CDA5D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Семейный парк аттракционов и развлечений MagicCity,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не имеющий аналогов в Центральн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ой Азии.</w:t>
            </w:r>
          </w:p>
          <w:p w14:paraId="28F213D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69EF712C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60" w:after="60"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7BCF7E1D" wp14:editId="622618E4">
                  <wp:extent cx="277495" cy="177800"/>
                  <wp:effectExtent l="0" t="0" r="0" b="0"/>
                  <wp:docPr id="10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 завтрак, обед</w:t>
            </w:r>
          </w:p>
        </w:tc>
      </w:tr>
      <w:tr w:rsidR="00FE7959" w14:paraId="5E3D4565" w14:textId="77777777">
        <w:trPr>
          <w:trHeight w:val="985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1A322B01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6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11A878EB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(свободное время).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Ташкент – Самарканд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(330 км, 5 ч). </w:t>
            </w:r>
          </w:p>
          <w:p w14:paraId="073381A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Выселение из гостиницы до 12:00. Свободное время без транспортного и экскурсионного обслуживания. </w:t>
            </w:r>
          </w:p>
          <w:p w14:paraId="5E01929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После обеда 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переезд в Самарканд,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столицу древней Согдианы – Мараканду.</w:t>
            </w:r>
          </w:p>
          <w:p w14:paraId="7D60E000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Это один из древнейших городов мира и бывшая столица огромной империи Тамерлана. Город-музей, город-сердце караванной торговли Шелкового пути, Самарканд и сегодня прекрасно сохранил уникальную ауру азиатского Средневековья.</w:t>
            </w:r>
          </w:p>
          <w:p w14:paraId="087E4E9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  <w:r>
              <w:rPr>
                <w:rFonts w:ascii="Arial" w:eastAsia="Arial" w:hAnsi="Arial" w:cs="Arial"/>
                <w:b/>
                <w:bCs/>
                <w:color w:val="808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099FAF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A95D47E" wp14:editId="1105D4AC">
                  <wp:extent cx="277495" cy="177800"/>
                  <wp:effectExtent l="0" t="0" r="0" b="0"/>
                  <wp:docPr id="104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 завтрак</w:t>
            </w:r>
          </w:p>
        </w:tc>
      </w:tr>
      <w:tr w:rsidR="00FE7959" w14:paraId="52D4A964" w14:textId="77777777">
        <w:trPr>
          <w:trHeight w:val="843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6F9C1D1D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>День 7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5315D12D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Самарканд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(экскурсия).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7069E1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Самарканд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ровесник Рима, один из древнейших городов мира и бывшая столица огромной империи Тамерлана. Город-музей, город-сердце караванной торговли Шелкового пути, Самарканд и сегодня прекрасно сохранил уникальную ауру азиа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тского Средневековья.</w:t>
            </w:r>
          </w:p>
          <w:p w14:paraId="23EAA92D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Самарканду: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самая известная площадь Центральной Азии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Регистан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окруженная тремя монументальными медресе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Шер-Дор, Тилля-Кари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Улугбека; мавзолей Гур-Эмир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грандиозная династическая усыпальница Тамерлана, посл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ужившая прототипом для мавзолеев Хумаюн в Дели и Тадж-Махал в Агре; самая большая в Центральной Азии соборная мечеть, исполненная царственности и красоты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Биби-Ханум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крупнейший рынок Самарканда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базар Сиаб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 архитектурный ансамбль из 11 средневековых мав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золеев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Шахи-Зинда, музей обсерватории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одной из самых значительных обсерваторий Средневековья, где под землей сохранился фрагмент гигантского угломера (секстант). </w:t>
            </w:r>
          </w:p>
          <w:p w14:paraId="7C68E34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5EE358DB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7BC775E" wp14:editId="043C236C">
                  <wp:extent cx="276860" cy="177800"/>
                  <wp:effectExtent l="0" t="0" r="0" b="0"/>
                  <wp:docPr id="104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FE7959" w14:paraId="5B8FF22A" w14:textId="77777777">
        <w:trPr>
          <w:trHeight w:val="1691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43734761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8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38863D3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Самарканд – Гиждуван – Бухара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(280 км; 4,5 ч).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Бухара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(экскурсия).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0E72CD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08:00 –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Гиждуван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Посещение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семьи Нарзуллаевых – потомственных мастеров-керамистов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Знакомство с гиждуванской гончарной школой, процессом изготовления керамики, обжига и росписи.</w:t>
            </w:r>
          </w:p>
          <w:p w14:paraId="0FAF0C7F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Обед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доме керамистов – дегустация знаменитых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гиждуванских шашлыков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497F0AF3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Бухару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другой древний город Узбекистана, через который также проходил Великий шелковый путь. Средневековая Бухара была одним из главных политических, культурных и религиозных центров Среднего Востока. Здесь прекрасно сохранилось более 140 памятников архитектур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ы, среди которых грандиозные медресе, мечети и знаменитый символ города – минарет Калян, крепость Арк, действующие средневековые бани и торговые купола. Исторический центр Бухары включен в Список всемирного наследия ЮНЕСКО.</w:t>
            </w:r>
          </w:p>
          <w:p w14:paraId="29D3E99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загородным объектам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летняя резиденция последнего бухарского эмира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дворец Ситораи Мохи Хоса.</w:t>
            </w:r>
          </w:p>
          <w:p w14:paraId="41B4189F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 прибытии в Бухару – размещение в гостинице. 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Бухаре: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ансамбль Ляби-Хауз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самая известная площадь Бухары с искусственным прудом, вокруг которого расположены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медресе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Кукельдаш, медресе Надира Диванбеги, ханака, знаменитый памятник Ходже Насреддину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множество уютных кафе.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Посещение торгового квартала крытых базаров XVI века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где представлены мастерские народных ремесел.</w:t>
            </w:r>
          </w:p>
          <w:p w14:paraId="3521676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5D889383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227AAA6" wp14:editId="16CA4F90">
                  <wp:extent cx="276860" cy="177800"/>
                  <wp:effectExtent l="0" t="0" r="0" b="0"/>
                  <wp:docPr id="104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завтрак, обед</w:t>
            </w:r>
          </w:p>
        </w:tc>
      </w:tr>
      <w:tr w:rsidR="00FE7959" w14:paraId="2391F935" w14:textId="77777777">
        <w:trPr>
          <w:trHeight w:val="1127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3C4A0C7A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9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FCD684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Бухара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(экскурсия).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626625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Продолжение экскурсии по Бухаре: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мавзолей Саманидов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династическая усыпальница, сочетающая традиции согдийской и исламской архитектуры; необычный мавзолей в форме продолговатой призмы, связанный с библейскими легендами о странствующем Иове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Чашма Аюб; комплекс Боло-Хауз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памятник монументального Региста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на Бухары, состоит из водоема, минарета и мечети, украшенной 20 резными колоннами; цитадель древней Бухары, «город в городе»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старинная крепость Арк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древнейшее здание парадной площади, центральный ансамбль и главный символ Бухары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комплекс Пой-Калян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 по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трясающе красивое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Абдулазиз-хана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богато украшенное сложными орнаментами; строгое и уравновешенное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0997182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0485FEF0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A5B160F" wp14:editId="436A39FB">
                  <wp:extent cx="276860" cy="177800"/>
                  <wp:effectExtent l="0" t="0" r="0" b="0"/>
                  <wp:docPr id="105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E7959" w14:paraId="50C10311" w14:textId="77777777">
        <w:trPr>
          <w:trHeight w:val="1127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32122CB0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10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E492BE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Бухара – Хива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(440 км, 8 ч).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825760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Хиву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через известную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пустыню Кызылкум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вдоль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реки Амударьи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Мы проедем той же дорогой, по которой некогда медленно тянулись бесчисленные караваны Шелкового пути. “Кызылкум” в переводе с тюркского – «Красные пески», здешний песок действительно имеет красноватый оттенок. Сделаем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несколько остановок и погуляем по живописным барханам, увидим одну из двух крупнейших рек региона – Амударью. </w:t>
            </w:r>
          </w:p>
          <w:p w14:paraId="302E17B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Прибытие в Хиву. Прогулка по историческому району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Ичан-Кале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(XVIII в.) – внутренней части Старой Хивы, государственному музею-заповеднику, окру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женному мощной крепостной стеной. </w:t>
            </w:r>
          </w:p>
          <w:p w14:paraId="7350257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64BA0E3C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5D3F27AD" wp14:editId="5AE1FB5A">
                  <wp:extent cx="276860" cy="177800"/>
                  <wp:effectExtent l="0" t="0" r="0" b="0"/>
                  <wp:docPr id="10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E7959" w14:paraId="4B1C28C9" w14:textId="77777777">
        <w:trPr>
          <w:trHeight w:val="1127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179F72E7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>День 11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5B07C59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Хива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(экскурсия).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5433D1C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Хива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которой уже более 2500 лет, – это яркий и почти не тронутый временем образец средневекового восточного города. Ичан-Кала предстанет перед нами в облике оживших улиц из восточной сказки, где каждое строение – уникальный архитектурный памятник и отдельная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достопримечательность.</w:t>
            </w:r>
          </w:p>
          <w:p w14:paraId="6303814E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Хиве (Ичан-Кале):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комплекс Пахлавана Махмуда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который считается местом паломничества;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крепость Куня-Арк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сердце Ичан-Калы, цитадель правителей и еще один «город в городе»;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и минарет Ислам Ходжи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символ города,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самый высокий минарет Хивы (56,6 м), откуда открывается сказочный вид на весь город;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дворец Таш Хаули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главная резиденция хивинских правителей;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Алакули-хана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где расположен музей истории медицины имени Авиценны;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мечеть Джума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центральная и самая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необычная мечеть Хивы с 213 резными деревянными колоннами,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минарет и медресе Мухаммад Амин-хана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крупнейшее медресе Хивы и одно из самых крупных в Средней Азии.</w:t>
            </w:r>
          </w:p>
          <w:p w14:paraId="1884682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2A9C595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A748DEE" wp14:editId="54759BF5">
                  <wp:extent cx="276860" cy="177800"/>
                  <wp:effectExtent l="0" t="0" r="0" b="0"/>
                  <wp:docPr id="104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FE7959" w14:paraId="53F22EF8" w14:textId="77777777">
        <w:trPr>
          <w:trHeight w:val="1127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12557A1E" w14:textId="77777777" w:rsidR="00FE7959" w:rsidRDefault="00391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12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43A953B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Хива – Ургенч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(40 км, 1 ч).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Убытие из Ургенча. </w:t>
            </w:r>
          </w:p>
          <w:p w14:paraId="067BEB7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Групповой переезд из Хивы в аэропорт Ургенча. Завершение программы тура.</w:t>
            </w:r>
          </w:p>
          <w:p w14:paraId="5B046DB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3EECDE32" wp14:editId="2014F5FD">
                  <wp:extent cx="276860" cy="177800"/>
                  <wp:effectExtent l="0" t="0" r="0" b="0"/>
                  <wp:docPr id="105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</w:tbl>
    <w:p w14:paraId="0D00B4FE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tbl>
      <w:tblPr>
        <w:tblStyle w:val="af2"/>
        <w:tblW w:w="95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112"/>
        <w:gridCol w:w="2478"/>
      </w:tblGrid>
      <w:tr w:rsidR="00FE7959" w14:paraId="0AD5AFBF" w14:textId="77777777">
        <w:trPr>
          <w:trHeight w:val="286"/>
          <w:jc w:val="center"/>
        </w:trPr>
        <w:tc>
          <w:tcPr>
            <w:tcW w:w="9590" w:type="dxa"/>
            <w:gridSpan w:val="2"/>
            <w:shd w:val="clear" w:color="auto" w:fill="B04758"/>
            <w:vAlign w:val="center"/>
          </w:tcPr>
          <w:p w14:paraId="6F2C2007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Стоимость тура в USD</w:t>
            </w:r>
          </w:p>
        </w:tc>
      </w:tr>
      <w:tr w:rsidR="00FE7959" w14:paraId="42EEC555" w14:textId="77777777">
        <w:trPr>
          <w:trHeight w:val="352"/>
          <w:jc w:val="center"/>
        </w:trPr>
        <w:tc>
          <w:tcPr>
            <w:tcW w:w="7112" w:type="dxa"/>
            <w:tcBorders>
              <w:top w:val="single" w:sz="4" w:space="0" w:color="B04758"/>
              <w:left w:val="single" w:sz="4" w:space="0" w:color="B04758"/>
              <w:right w:val="single" w:sz="4" w:space="0" w:color="B04758"/>
            </w:tcBorders>
            <w:vAlign w:val="center"/>
          </w:tcPr>
          <w:p w14:paraId="42C3E7F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Стоимость тура для 1 чел.</w:t>
            </w:r>
          </w:p>
        </w:tc>
        <w:tc>
          <w:tcPr>
            <w:tcW w:w="2478" w:type="dxa"/>
            <w:tcBorders>
              <w:top w:val="single" w:sz="4" w:space="0" w:color="B04758"/>
              <w:right w:val="single" w:sz="4" w:space="0" w:color="B04758"/>
            </w:tcBorders>
            <w:vAlign w:val="center"/>
          </w:tcPr>
          <w:p w14:paraId="70A69D55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1480 USD</w:t>
            </w:r>
          </w:p>
        </w:tc>
      </w:tr>
      <w:tr w:rsidR="00FE7959" w14:paraId="3C31C9E0" w14:textId="77777777">
        <w:trPr>
          <w:trHeight w:val="352"/>
          <w:jc w:val="center"/>
        </w:trPr>
        <w:tc>
          <w:tcPr>
            <w:tcW w:w="7112" w:type="dxa"/>
            <w:tcBorders>
              <w:left w:val="single" w:sz="4" w:space="0" w:color="B04758"/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5D1526AB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Доплата за одноместное размещение</w:t>
            </w:r>
          </w:p>
        </w:tc>
        <w:tc>
          <w:tcPr>
            <w:tcW w:w="2478" w:type="dxa"/>
            <w:tcBorders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0F795154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>+358 USD</w:t>
            </w:r>
          </w:p>
        </w:tc>
      </w:tr>
    </w:tbl>
    <w:p w14:paraId="5D1A5F5B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7C8FCC0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A9EE70C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Тур является гарантированным и состоится вне зависимости от количества участников. </w:t>
      </w:r>
    </w:p>
    <w:p w14:paraId="3D12C294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К участию в групповом туре допускаются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дети от 10 лет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</w:p>
    <w:p w14:paraId="13BF6E20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1F08A9B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В стоимость тура включено:</w:t>
      </w:r>
    </w:p>
    <w:p w14:paraId="740232FF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Встреча/проводы в аэропорту, групповой трансфер аэропорт – гостиница – аэропорт для каждого рейса в день начала и окончания программы.</w:t>
      </w:r>
    </w:p>
    <w:p w14:paraId="136B66E9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Размещение в гостиницах в двухместных номерах с завтраком.</w:t>
      </w:r>
    </w:p>
    <w:p w14:paraId="1A57BF4E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Групповые экскурсии с гидом согласн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о программе тура. </w:t>
      </w:r>
    </w:p>
    <w:p w14:paraId="3352D1D4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Комфортабельный транспорт с кондиционером на протяжении всего тура.</w:t>
      </w:r>
    </w:p>
    <w:p w14:paraId="0B48783A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Посещение гелиокомплекса «Физика-Солнце».</w:t>
      </w:r>
    </w:p>
    <w:p w14:paraId="7639041C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Поездка в горную курортную зону Чимган, Западный Тянь-Шань.</w:t>
      </w:r>
    </w:p>
    <w:p w14:paraId="045FAB79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</w:rPr>
        <w:t>Билеты на канатную дорогу на горном курорте «Амирсой».</w:t>
      </w:r>
    </w:p>
    <w:p w14:paraId="6541F9D3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Обед в ресторане «Файз» неподалеку от комплекса «Амирсой».</w:t>
      </w:r>
    </w:p>
    <w:p w14:paraId="2F1A0EB0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Обед в Паркентском районе – паркентские шашлыки.</w:t>
      </w:r>
    </w:p>
    <w:p w14:paraId="15B23328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Обед в Среднеазиатском центре плова «Беш Козон». </w:t>
      </w:r>
    </w:p>
    <w:p w14:paraId="7061485D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2" w:name="_heading=h.tezy4hhoesb2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</w:rPr>
        <w:t>Мастер-класс по приготовлению бухарского пл</w:t>
      </w:r>
      <w:r>
        <w:rPr>
          <w:rFonts w:ascii="Arial" w:eastAsia="Arial" w:hAnsi="Arial" w:cs="Arial"/>
          <w:color w:val="000000"/>
          <w:sz w:val="20"/>
          <w:szCs w:val="20"/>
        </w:rPr>
        <w:t>ова «Оши-софи».</w:t>
      </w:r>
    </w:p>
    <w:p w14:paraId="5F2218E3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Обед в доме керамистов в Гиждуване.</w:t>
      </w:r>
    </w:p>
    <w:p w14:paraId="3A21951B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Минеральная вода (1 л) на каждый экскурсионный день тура (кроме дней прибытия и убытия).</w:t>
      </w:r>
    </w:p>
    <w:p w14:paraId="35620214" w14:textId="77777777" w:rsidR="00FE7959" w:rsidRDefault="003912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Памятные сувениры.</w:t>
      </w:r>
    </w:p>
    <w:p w14:paraId="0BF687DE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BC717E2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В стоимость тура не включено:</w:t>
      </w:r>
    </w:p>
    <w:p w14:paraId="6FEBF079" w14:textId="77777777" w:rsidR="00FE7959" w:rsidRDefault="003912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Стоимость международных перелетов.</w:t>
      </w:r>
    </w:p>
    <w:p w14:paraId="497534B6" w14:textId="77777777" w:rsidR="00FE7959" w:rsidRDefault="003912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Входные билеты на памятники и в музеи. </w:t>
      </w:r>
    </w:p>
    <w:p w14:paraId="3074138B" w14:textId="77777777" w:rsidR="00FE7959" w:rsidRDefault="003912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Стоимость питания, кроме указанного в программе тура.</w:t>
      </w:r>
    </w:p>
    <w:p w14:paraId="701E84C6" w14:textId="77777777" w:rsidR="00FE7959" w:rsidRDefault="003912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Медицинские издержки и страховка.</w:t>
      </w:r>
    </w:p>
    <w:p w14:paraId="5DD8927E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5878E1A2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Дополнительные услуги:</w:t>
      </w:r>
    </w:p>
    <w:p w14:paraId="3074F957" w14:textId="77777777" w:rsidR="00FE7959" w:rsidRDefault="003912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Дополнительная ночь по прибытии или убытии в гостинице 3*:</w:t>
      </w:r>
    </w:p>
    <w:p w14:paraId="128E5141" w14:textId="77777777" w:rsidR="00FE7959" w:rsidRDefault="003912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одноместный номер – 60 USD за номер в сутки,</w:t>
      </w:r>
    </w:p>
    <w:p w14:paraId="78CFEB7F" w14:textId="77777777" w:rsidR="00FE7959" w:rsidRDefault="003912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двухместный номер – 70 USD за номер в сутки.</w:t>
      </w:r>
    </w:p>
    <w:p w14:paraId="5B8A72E0" w14:textId="77777777" w:rsidR="00FE7959" w:rsidRDefault="003912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Доплата за индивидуальный трансфер аэропорт – гостиница – аэропорт: </w:t>
      </w:r>
    </w:p>
    <w:p w14:paraId="6965F26F" w14:textId="77777777" w:rsidR="00FE7959" w:rsidRDefault="003912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седан: +25 USD в одну сторону,</w:t>
      </w:r>
    </w:p>
    <w:p w14:paraId="07127E38" w14:textId="77777777" w:rsidR="00FE7959" w:rsidRDefault="003912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микроав</w:t>
      </w:r>
      <w:r>
        <w:rPr>
          <w:rFonts w:ascii="Arial" w:eastAsia="Arial" w:hAnsi="Arial" w:cs="Arial"/>
          <w:color w:val="000000"/>
          <w:sz w:val="20"/>
          <w:szCs w:val="20"/>
        </w:rPr>
        <w:t>тобус: + 40 USD в одну сторону.</w:t>
      </w:r>
    </w:p>
    <w:p w14:paraId="6B80E16A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A548CC1" w14:textId="77777777" w:rsidR="00FE7959" w:rsidRDefault="00391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Порядок посещения объектов во время экскурсий может меняться.</w:t>
      </w:r>
    </w:p>
    <w:p w14:paraId="28A89BA9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7686A2C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BBE1AA3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710B456" w14:textId="77777777" w:rsidR="00FE7959" w:rsidRDefault="00391223">
      <w:pPr>
        <w:widowControl w:val="0"/>
        <w:pBdr>
          <w:top w:val="nil"/>
          <w:left w:val="nil"/>
          <w:bottom w:val="single" w:sz="4" w:space="1" w:color="B04758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B04758"/>
          <w:sz w:val="8"/>
          <w:szCs w:val="8"/>
        </w:rPr>
      </w:pPr>
      <w:r>
        <w:rPr>
          <w:rFonts w:ascii="Arial" w:eastAsia="Arial" w:hAnsi="Arial" w:cs="Arial"/>
          <w:b/>
          <w:bCs/>
          <w:color w:val="B04758"/>
          <w:sz w:val="22"/>
          <w:szCs w:val="22"/>
        </w:rPr>
        <w:t>Информация о гостиницах</w:t>
      </w:r>
    </w:p>
    <w:p w14:paraId="16E307E8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EB31FC2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3"/>
        <w:tblW w:w="821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48"/>
        <w:gridCol w:w="253"/>
        <w:gridCol w:w="5812"/>
      </w:tblGrid>
      <w:tr w:rsidR="00FE7959" w14:paraId="241717DD" w14:textId="77777777">
        <w:trPr>
          <w:trHeight w:val="313"/>
          <w:jc w:val="center"/>
        </w:trPr>
        <w:tc>
          <w:tcPr>
            <w:tcW w:w="2148" w:type="dxa"/>
            <w:shd w:val="clear" w:color="auto" w:fill="B04758"/>
            <w:vAlign w:val="center"/>
          </w:tcPr>
          <w:p w14:paraId="58D60C19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Город</w:t>
            </w:r>
          </w:p>
        </w:tc>
        <w:tc>
          <w:tcPr>
            <w:tcW w:w="6065" w:type="dxa"/>
            <w:gridSpan w:val="2"/>
            <w:shd w:val="clear" w:color="auto" w:fill="B04758"/>
            <w:vAlign w:val="center"/>
          </w:tcPr>
          <w:p w14:paraId="269B04E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Гостиница</w:t>
            </w:r>
          </w:p>
        </w:tc>
      </w:tr>
      <w:tr w:rsidR="00FE7959" w14:paraId="34B468F7" w14:textId="77777777">
        <w:trPr>
          <w:trHeight w:val="386"/>
          <w:jc w:val="center"/>
        </w:trPr>
        <w:tc>
          <w:tcPr>
            <w:tcW w:w="2401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24FB30E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Ташкент</w:t>
            </w:r>
          </w:p>
        </w:tc>
        <w:tc>
          <w:tcPr>
            <w:tcW w:w="5812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538F1F6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Huvaydo 3* /  King Plaza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 подобная</w:t>
            </w:r>
          </w:p>
        </w:tc>
      </w:tr>
      <w:tr w:rsidR="00FE7959" w14:paraId="0C45F964" w14:textId="77777777">
        <w:trPr>
          <w:trHeight w:val="386"/>
          <w:jc w:val="center"/>
        </w:trPr>
        <w:tc>
          <w:tcPr>
            <w:tcW w:w="2401" w:type="dxa"/>
            <w:gridSpan w:val="2"/>
            <w:tcBorders>
              <w:left w:val="single" w:sz="4" w:space="0" w:color="B04758"/>
              <w:right w:val="single" w:sz="4" w:space="0" w:color="B04758"/>
            </w:tcBorders>
            <w:vAlign w:val="center"/>
          </w:tcPr>
          <w:p w14:paraId="082BAE9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Чимганские горы</w:t>
            </w:r>
          </w:p>
        </w:tc>
        <w:tc>
          <w:tcPr>
            <w:tcW w:w="5812" w:type="dxa"/>
            <w:tcBorders>
              <w:right w:val="single" w:sz="4" w:space="0" w:color="B04758"/>
            </w:tcBorders>
            <w:vAlign w:val="center"/>
          </w:tcPr>
          <w:p w14:paraId="0ED49432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>горный курорт «</w:t>
            </w: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Арчазор</w:t>
            </w: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>»</w:t>
            </w: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</w:t>
            </w:r>
          </w:p>
        </w:tc>
      </w:tr>
      <w:tr w:rsidR="00FE7959" w:rsidRPr="00391223" w14:paraId="0686D205" w14:textId="77777777">
        <w:trPr>
          <w:trHeight w:val="386"/>
          <w:jc w:val="center"/>
        </w:trPr>
        <w:tc>
          <w:tcPr>
            <w:tcW w:w="2401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737D1FC8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Самарканд</w:t>
            </w:r>
          </w:p>
        </w:tc>
        <w:tc>
          <w:tcPr>
            <w:tcW w:w="5812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22392D2D" w14:textId="77777777" w:rsidR="00FE7959" w:rsidRPr="00391223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</w:pPr>
            <w:r w:rsidRPr="00391223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>Arba 3* / Marokand Spa Hotel 3*</w:t>
            </w:r>
            <w:r w:rsidRPr="00391223"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</w:t>
            </w:r>
            <w:r w:rsidRPr="00391223"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подобная</w:t>
            </w:r>
          </w:p>
        </w:tc>
      </w:tr>
      <w:tr w:rsidR="00FE7959" w:rsidRPr="00391223" w14:paraId="11CB1D44" w14:textId="77777777">
        <w:trPr>
          <w:trHeight w:val="386"/>
          <w:jc w:val="center"/>
        </w:trPr>
        <w:tc>
          <w:tcPr>
            <w:tcW w:w="2401" w:type="dxa"/>
            <w:gridSpan w:val="2"/>
            <w:tcBorders>
              <w:left w:val="single" w:sz="4" w:space="0" w:color="B04758"/>
              <w:right w:val="single" w:sz="4" w:space="0" w:color="B04758"/>
            </w:tcBorders>
            <w:vAlign w:val="center"/>
          </w:tcPr>
          <w:p w14:paraId="7D33C5E8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Бухара</w:t>
            </w:r>
          </w:p>
        </w:tc>
        <w:tc>
          <w:tcPr>
            <w:tcW w:w="5812" w:type="dxa"/>
            <w:tcBorders>
              <w:right w:val="single" w:sz="4" w:space="0" w:color="B04758"/>
            </w:tcBorders>
            <w:vAlign w:val="center"/>
          </w:tcPr>
          <w:p w14:paraId="463C490C" w14:textId="77777777" w:rsidR="00FE7959" w:rsidRPr="00391223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</w:pPr>
            <w:r w:rsidRPr="00391223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 xml:space="preserve">Ayvan Boutique 3* / Nostalgia Boutique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</w:t>
            </w:r>
            <w:r w:rsidRPr="00391223"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подобная</w:t>
            </w:r>
          </w:p>
        </w:tc>
      </w:tr>
      <w:tr w:rsidR="00FE7959" w14:paraId="027BA5E3" w14:textId="77777777">
        <w:trPr>
          <w:trHeight w:val="386"/>
          <w:jc w:val="center"/>
        </w:trPr>
        <w:tc>
          <w:tcPr>
            <w:tcW w:w="2401" w:type="dxa"/>
            <w:gridSpan w:val="2"/>
            <w:tcBorders>
              <w:left w:val="single" w:sz="4" w:space="0" w:color="B04758"/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382E6D41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Хива</w:t>
            </w:r>
          </w:p>
        </w:tc>
        <w:tc>
          <w:tcPr>
            <w:tcW w:w="5812" w:type="dxa"/>
            <w:tcBorders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68222F40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Shokh Jahon 3* / Silk Road 3*</w:t>
            </w: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 подобная</w:t>
            </w:r>
          </w:p>
        </w:tc>
      </w:tr>
    </w:tbl>
    <w:p w14:paraId="5C979DB3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F89CAA0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42F2A81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07E4A31" w14:textId="77777777" w:rsidR="00FE7959" w:rsidRDefault="00391223">
      <w:pPr>
        <w:widowControl w:val="0"/>
        <w:pBdr>
          <w:top w:val="nil"/>
          <w:left w:val="nil"/>
          <w:bottom w:val="single" w:sz="4" w:space="1" w:color="B04758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B04758"/>
          <w:sz w:val="22"/>
          <w:szCs w:val="22"/>
        </w:rPr>
      </w:pPr>
      <w:r>
        <w:rPr>
          <w:rFonts w:ascii="Arial" w:eastAsia="Arial" w:hAnsi="Arial" w:cs="Arial"/>
          <w:b/>
          <w:bCs/>
          <w:color w:val="B04758"/>
          <w:sz w:val="22"/>
          <w:szCs w:val="22"/>
        </w:rPr>
        <w:t>Информация о транспорте</w:t>
      </w:r>
    </w:p>
    <w:p w14:paraId="47F0FD89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tbl>
      <w:tblPr>
        <w:tblStyle w:val="af4"/>
        <w:tblW w:w="731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23"/>
        <w:gridCol w:w="849"/>
        <w:gridCol w:w="4344"/>
      </w:tblGrid>
      <w:tr w:rsidR="00FE7959" w14:paraId="287651FE" w14:textId="77777777">
        <w:trPr>
          <w:trHeight w:val="306"/>
          <w:jc w:val="center"/>
        </w:trPr>
        <w:tc>
          <w:tcPr>
            <w:tcW w:w="2123" w:type="dxa"/>
            <w:shd w:val="clear" w:color="auto" w:fill="B04758"/>
            <w:vAlign w:val="center"/>
          </w:tcPr>
          <w:p w14:paraId="033B5268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Группа</w:t>
            </w:r>
          </w:p>
        </w:tc>
        <w:tc>
          <w:tcPr>
            <w:tcW w:w="5193" w:type="dxa"/>
            <w:gridSpan w:val="2"/>
            <w:shd w:val="clear" w:color="auto" w:fill="B04758"/>
            <w:vAlign w:val="center"/>
          </w:tcPr>
          <w:p w14:paraId="15D506E6" w14:textId="77777777" w:rsidR="00FE7959" w:rsidRDefault="00391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Наименование транспорта</w:t>
            </w:r>
          </w:p>
        </w:tc>
      </w:tr>
      <w:tr w:rsidR="00FE7959" w14:paraId="600EC221" w14:textId="77777777">
        <w:trPr>
          <w:trHeight w:val="377"/>
          <w:jc w:val="center"/>
        </w:trPr>
        <w:tc>
          <w:tcPr>
            <w:tcW w:w="2972" w:type="dxa"/>
            <w:gridSpan w:val="2"/>
            <w:tcBorders>
              <w:top w:val="single" w:sz="4" w:space="0" w:color="B04758"/>
              <w:left w:val="single" w:sz="4" w:space="0" w:color="B04758"/>
              <w:right w:val="single" w:sz="4" w:space="0" w:color="B04758"/>
            </w:tcBorders>
            <w:vAlign w:val="center"/>
          </w:tcPr>
          <w:p w14:paraId="5E343CBC" w14:textId="77777777" w:rsidR="00FE7959" w:rsidRDefault="00391223">
            <w:pPr>
              <w:ind w:left="0" w:hanging="2"/>
              <w:jc w:val="center"/>
            </w:pPr>
            <w:r>
              <w:rPr>
                <w:rFonts w:ascii="Arial" w:eastAsia="Arial" w:hAnsi="Arial" w:cs="Arial"/>
              </w:rPr>
              <w:t>Группа 1–2 чел.</w:t>
            </w:r>
          </w:p>
        </w:tc>
        <w:tc>
          <w:tcPr>
            <w:tcW w:w="4344" w:type="dxa"/>
            <w:tcBorders>
              <w:top w:val="single" w:sz="4" w:space="0" w:color="B04758"/>
              <w:right w:val="single" w:sz="4" w:space="0" w:color="B04758"/>
            </w:tcBorders>
            <w:vAlign w:val="center"/>
          </w:tcPr>
          <w:p w14:paraId="150AF2BC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  <w:color w:val="AB4C58"/>
              </w:rPr>
            </w:pPr>
            <w:r>
              <w:rPr>
                <w:rFonts w:ascii="Arial" w:eastAsia="Arial" w:hAnsi="Arial" w:cs="Arial"/>
                <w:b/>
                <w:bCs/>
                <w:color w:val="B0514E"/>
              </w:rPr>
              <w:t>"</w:t>
            </w:r>
            <w:hyperlink r:id="rId8" w:anchor="lacetti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Chevrolet Lacetti</w:t>
              </w:r>
            </w:hyperlink>
            <w:r>
              <w:rPr>
                <w:rFonts w:ascii="Arial" w:eastAsia="Arial" w:hAnsi="Arial" w:cs="Arial"/>
                <w:b/>
                <w:bCs/>
                <w:color w:val="B0514E"/>
              </w:rPr>
              <w:t>"</w:t>
            </w:r>
          </w:p>
        </w:tc>
      </w:tr>
      <w:tr w:rsidR="00FE7959" w14:paraId="09E3E7CA" w14:textId="77777777">
        <w:trPr>
          <w:trHeight w:val="377"/>
          <w:jc w:val="center"/>
        </w:trPr>
        <w:tc>
          <w:tcPr>
            <w:tcW w:w="2972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313A4FCB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Группа 3–6 чел.</w:t>
            </w:r>
          </w:p>
        </w:tc>
        <w:tc>
          <w:tcPr>
            <w:tcW w:w="4344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2513F67D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  <w:color w:val="AB4C58"/>
              </w:rPr>
            </w:pPr>
            <w:hyperlink r:id="rId9" w:anchor="Hyundai_Grand_Starex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"Hyundai Grand St</w:t>
              </w:r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arex"</w:t>
              </w:r>
            </w:hyperlink>
          </w:p>
        </w:tc>
      </w:tr>
      <w:tr w:rsidR="00FE7959" w14:paraId="22CF0CD4" w14:textId="77777777">
        <w:trPr>
          <w:trHeight w:val="377"/>
          <w:jc w:val="center"/>
        </w:trPr>
        <w:tc>
          <w:tcPr>
            <w:tcW w:w="2972" w:type="dxa"/>
            <w:gridSpan w:val="2"/>
            <w:tcBorders>
              <w:left w:val="single" w:sz="4" w:space="0" w:color="B04758"/>
              <w:right w:val="single" w:sz="4" w:space="0" w:color="B04758"/>
            </w:tcBorders>
            <w:vAlign w:val="center"/>
          </w:tcPr>
          <w:p w14:paraId="073FE3B6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Группа 7–9 чел.</w:t>
            </w:r>
          </w:p>
        </w:tc>
        <w:tc>
          <w:tcPr>
            <w:tcW w:w="4344" w:type="dxa"/>
            <w:tcBorders>
              <w:right w:val="single" w:sz="4" w:space="0" w:color="B04758"/>
            </w:tcBorders>
            <w:vAlign w:val="center"/>
          </w:tcPr>
          <w:p w14:paraId="390F80DA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  <w:color w:val="AB4C58"/>
              </w:rPr>
            </w:pPr>
            <w:r>
              <w:rPr>
                <w:rFonts w:ascii="Arial" w:eastAsia="Arial" w:hAnsi="Arial" w:cs="Arial"/>
                <w:b/>
                <w:bCs/>
                <w:color w:val="B0514E"/>
              </w:rPr>
              <w:t>"</w:t>
            </w:r>
            <w:hyperlink r:id="rId10" w:anchor="toyota_hiace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Toyota Hiace</w:t>
              </w:r>
            </w:hyperlink>
            <w:r>
              <w:rPr>
                <w:rFonts w:ascii="Arial" w:eastAsia="Arial" w:hAnsi="Arial" w:cs="Arial"/>
                <w:b/>
                <w:bCs/>
                <w:color w:val="B0514E"/>
              </w:rPr>
              <w:t>" / "</w:t>
            </w:r>
            <w:hyperlink r:id="rId11" w:anchor="king-long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King Long</w:t>
              </w:r>
            </w:hyperlink>
            <w:r>
              <w:rPr>
                <w:rFonts w:ascii="Arial" w:eastAsia="Arial" w:hAnsi="Arial" w:cs="Arial"/>
                <w:b/>
                <w:bCs/>
                <w:color w:val="B0514E"/>
              </w:rPr>
              <w:t>"</w:t>
            </w:r>
          </w:p>
        </w:tc>
      </w:tr>
      <w:tr w:rsidR="00FE7959" w14:paraId="2992F1F1" w14:textId="77777777">
        <w:trPr>
          <w:trHeight w:val="377"/>
          <w:jc w:val="center"/>
        </w:trPr>
        <w:tc>
          <w:tcPr>
            <w:tcW w:w="2972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7C2BEE7D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Группа 10–14 чел.</w:t>
            </w:r>
          </w:p>
        </w:tc>
        <w:tc>
          <w:tcPr>
            <w:tcW w:w="4344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3C692A92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  <w:color w:val="AB4C58"/>
              </w:rPr>
            </w:pPr>
            <w:hyperlink r:id="rId12" w:anchor="eurise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"Eurise"</w:t>
              </w:r>
            </w:hyperlink>
          </w:p>
        </w:tc>
      </w:tr>
      <w:tr w:rsidR="00FE7959" w14:paraId="13893665" w14:textId="77777777">
        <w:trPr>
          <w:trHeight w:val="377"/>
          <w:jc w:val="center"/>
        </w:trPr>
        <w:tc>
          <w:tcPr>
            <w:tcW w:w="2972" w:type="dxa"/>
            <w:gridSpan w:val="2"/>
            <w:tcBorders>
              <w:left w:val="single" w:sz="4" w:space="0" w:color="B04758"/>
              <w:bottom w:val="single" w:sz="4" w:space="0" w:color="B34758"/>
              <w:right w:val="single" w:sz="4" w:space="0" w:color="B04758"/>
            </w:tcBorders>
            <w:vAlign w:val="center"/>
          </w:tcPr>
          <w:p w14:paraId="0558684C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Группа 15–30 чел.</w:t>
            </w:r>
          </w:p>
        </w:tc>
        <w:tc>
          <w:tcPr>
            <w:tcW w:w="4344" w:type="dxa"/>
            <w:tcBorders>
              <w:bottom w:val="single" w:sz="4" w:space="0" w:color="B34758"/>
              <w:right w:val="single" w:sz="4" w:space="0" w:color="B04758"/>
            </w:tcBorders>
            <w:vAlign w:val="center"/>
          </w:tcPr>
          <w:p w14:paraId="2BA5D280" w14:textId="77777777" w:rsidR="00FE7959" w:rsidRDefault="00391223">
            <w:pPr>
              <w:ind w:left="0" w:hanging="2"/>
              <w:jc w:val="center"/>
              <w:rPr>
                <w:rFonts w:ascii="Arial" w:eastAsia="Arial" w:hAnsi="Arial" w:cs="Arial"/>
                <w:color w:val="AB4C58"/>
              </w:rPr>
            </w:pPr>
            <w:hyperlink r:id="rId13" w:anchor="AsiaStar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"Asia Star"</w:t>
              </w:r>
            </w:hyperlink>
            <w:hyperlink r:id="rId14" w:anchor="yutong">
              <w:r>
                <w:rPr>
                  <w:rFonts w:ascii="Arial" w:eastAsia="Arial" w:hAnsi="Arial" w:cs="Arial"/>
                  <w:b/>
                  <w:bCs/>
                  <w:color w:val="B0514E"/>
                </w:rPr>
                <w:t xml:space="preserve"> </w:t>
              </w:r>
            </w:hyperlink>
            <w:hyperlink r:id="rId15" w:anchor="yutong">
              <w:r>
                <w:rPr>
                  <w:rFonts w:ascii="Arial" w:eastAsia="Arial" w:hAnsi="Arial" w:cs="Arial"/>
                  <w:b/>
                  <w:bCs/>
                  <w:color w:val="B0514E"/>
                  <w:u w:val="single"/>
                </w:rPr>
                <w:t>/ "Yutong"</w:t>
              </w:r>
            </w:hyperlink>
          </w:p>
        </w:tc>
      </w:tr>
    </w:tbl>
    <w:p w14:paraId="11F87585" w14:textId="77777777" w:rsidR="00FE7959" w:rsidRDefault="00FE7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FE7959">
      <w:pgSz w:w="12240" w:h="15840"/>
      <w:pgMar w:top="851" w:right="618" w:bottom="851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765914E-0BF8-427E-A437-009C1A78765B}"/>
    <w:embedBold r:id="rId2" w:fontKey="{442E161E-576B-4C49-8234-1F96BAD6007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24D2E06-EFB2-445C-AC6A-9B1EDD68C39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7209CE1-5A6B-46C2-8430-A59D02AECCE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55B18AF-6C46-496D-95F9-79D3A420E4B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67F58E4-D07E-4EF6-B1C9-6DE213C178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13FB9"/>
    <w:multiLevelType w:val="multilevel"/>
    <w:tmpl w:val="DC485000"/>
    <w:lvl w:ilvl="0">
      <w:start w:val="1"/>
      <w:numFmt w:val="bullet"/>
      <w:lvlText w:val="✔"/>
      <w:lvlJc w:val="left"/>
      <w:pPr>
        <w:ind w:left="786" w:hanging="360"/>
      </w:pPr>
      <w:rPr>
        <w:rFonts w:ascii="Noto Sans Symbols" w:eastAsia="Noto Sans Symbols" w:hAnsi="Noto Sans Symbols" w:cs="Noto Sans Symbols"/>
        <w:b/>
        <w:bCs/>
        <w:color w:val="B04758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46D23B5"/>
    <w:multiLevelType w:val="multilevel"/>
    <w:tmpl w:val="2FAC4A1E"/>
    <w:lvl w:ilvl="0">
      <w:start w:val="1"/>
      <w:numFmt w:val="bullet"/>
      <w:lvlText w:val="-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6336CAB"/>
    <w:multiLevelType w:val="multilevel"/>
    <w:tmpl w:val="47DC516E"/>
    <w:lvl w:ilvl="0">
      <w:start w:val="1"/>
      <w:numFmt w:val="bullet"/>
      <w:lvlText w:val="🗶"/>
      <w:lvlJc w:val="left"/>
      <w:pPr>
        <w:ind w:left="786" w:hanging="360"/>
      </w:pPr>
      <w:rPr>
        <w:rFonts w:ascii="Noto Sans Symbols" w:eastAsia="Noto Sans Symbols" w:hAnsi="Noto Sans Symbols" w:cs="Noto Sans Symbols"/>
        <w:b w:val="0"/>
        <w:bCs w:val="0"/>
        <w:color w:val="B04758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D48221C"/>
    <w:multiLevelType w:val="multilevel"/>
    <w:tmpl w:val="ABA6B37C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943634"/>
        <w:sz w:val="18"/>
        <w:szCs w:val="18"/>
        <w:vertAlign w:val="baseline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59"/>
    <w:rsid w:val="00391223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0101B"/>
  <w15:docId w15:val="{1262AB50-B3BD-4679-B851-C4D912AC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kabinki">
    <w:name w:val="kabinki"/>
    <w:basedOn w:val="a"/>
    <w:pPr>
      <w:spacing w:before="100" w:beforeAutospacing="1" w:after="100" w:afterAutospacing="1"/>
    </w:pPr>
  </w:style>
  <w:style w:type="character" w:styleId="a7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9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en-US"/>
    </w:rPr>
  </w:style>
  <w:style w:type="paragraph" w:customStyle="1" w:styleId="aa">
    <w:name w:val="Обычный (веб)"/>
    <w:basedOn w:val="a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mcgjnrgmsonormal">
    <w:name w:val="rmcgjnrgmsonormal"/>
    <w:basedOn w:val="a"/>
    <w:pPr>
      <w:spacing w:before="100" w:beforeAutospacing="1" w:after="100" w:afterAutospacing="1"/>
    </w:pPr>
  </w:style>
  <w:style w:type="character" w:styleId="ab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c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gmaildefault">
    <w:name w:val="gmail_default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s-markdown-paragraph">
    <w:name w:val="ds-markdown-paragraph"/>
    <w:basedOn w:val="a"/>
    <w:pPr>
      <w:spacing w:before="100" w:beforeAutospacing="1" w:after="100" w:afterAutospacing="1"/>
    </w:p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alasia-travel.com/ru/countries/uzbekistan/avto" TargetMode="External"/><Relationship Id="rId13" Type="http://schemas.openxmlformats.org/officeDocument/2006/relationships/hyperlink" Target="https://www.centralasia-travel.com/ru/countries/uzbekistan/avto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centralasia-travel.com/ru/countries/uzbekistan/av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centralasia-travel.com/ru/countries/uzbekistan/avt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entralasia-travel.com/ru/countries/uzbekistan/avto" TargetMode="External"/><Relationship Id="rId10" Type="http://schemas.openxmlformats.org/officeDocument/2006/relationships/hyperlink" Target="https://www.centralasia-travel.com/ru/countries/uzbekistan/avt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ntralasia-travel.com/ru/countries/uzbekistan/avto" TargetMode="External"/><Relationship Id="rId14" Type="http://schemas.openxmlformats.org/officeDocument/2006/relationships/hyperlink" Target="https://www.centralasia-travel.com/ru/countries/uzbekistan/avt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1HsoLD6uevdCfNO2yuVjKiMdw==">CgMxLjAyCGguZ2pkZ3hzMgloLjMwajB6bGwyDmgudGV6eTRoaG9lc2IyMg5oLmVmNTF5czFnajF4ZTgAciExMFhwblNRbTFiVHNJaXUzMEJCTnhBOWJUSUNBYV8xSVg=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2411</Words>
  <Characters>13749</Characters>
  <Application>Microsoft Office Word</Application>
  <DocSecurity>0</DocSecurity>
  <Lines>114</Lines>
  <Paragraphs>32</Paragraphs>
  <ScaleCrop>false</ScaleCrop>
  <Company/>
  <LinksUpToDate>false</LinksUpToDate>
  <CharactersWithSpaces>16128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cat03</dc:creator>
  <cp:lastModifiedBy>Julia Radchenko</cp:lastModifiedBy>
  <cp:revision>3</cp:revision>
  <cp:lastPrinted>2026-05-27T13:13:00Z</cp:lastPrinted>
  <dcterms:created xsi:type="dcterms:W3CDTF">2023-12-05T09:04:00Z</dcterms:created>
  <dcterms:modified xsi:type="dcterms:W3CDTF">2026-05-27T13:13:00Z</dcterms:modified>
</cp:coreProperties>
</file>