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68" w:rsidRPr="00047268" w:rsidRDefault="00047268" w:rsidP="000472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proofErr w:type="spellStart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Гдов</w:t>
      </w:r>
      <w:proofErr w:type="spellEnd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– </w:t>
      </w:r>
      <w:proofErr w:type="spellStart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Самолва</w:t>
      </w:r>
      <w:proofErr w:type="spellEnd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– Елизарово – Псков – Себеж - </w:t>
      </w:r>
      <w:proofErr w:type="spellStart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Ореховно</w:t>
      </w:r>
      <w:proofErr w:type="spellEnd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bookmarkEnd w:id="0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(2 </w:t>
      </w:r>
      <w:proofErr w:type="spellStart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дн</w:t>
      </w:r>
      <w:proofErr w:type="spellEnd"/>
      <w:r w:rsidRPr="000472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/1н)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741"/>
        <w:gridCol w:w="2741"/>
      </w:tblGrid>
      <w:tr w:rsidR="00047268" w:rsidRPr="00047268" w:rsidTr="000E2EBD">
        <w:tc>
          <w:tcPr>
            <w:tcW w:w="2740" w:type="dxa"/>
          </w:tcPr>
          <w:p w:rsidR="00BF4FFD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EF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754EFE">
              <w:rPr>
                <w:rFonts w:ascii="Times New Roman" w:hAnsi="Times New Roman" w:cs="Times New Roman"/>
                <w:b/>
              </w:rPr>
              <w:t>.05 - 0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754EFE">
              <w:rPr>
                <w:rFonts w:ascii="Times New Roman" w:hAnsi="Times New Roman" w:cs="Times New Roman"/>
                <w:b/>
              </w:rPr>
              <w:t>.05.25</w:t>
            </w:r>
          </w:p>
          <w:p w:rsidR="00467386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754EFE">
              <w:rPr>
                <w:rFonts w:ascii="Times New Roman" w:hAnsi="Times New Roman" w:cs="Times New Roman"/>
                <w:b/>
              </w:rPr>
              <w:t xml:space="preserve">.05 -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754EFE">
              <w:rPr>
                <w:rFonts w:ascii="Times New Roman" w:hAnsi="Times New Roman" w:cs="Times New Roman"/>
                <w:b/>
              </w:rPr>
              <w:t>.05.25</w:t>
            </w:r>
          </w:p>
          <w:p w:rsidR="00467386" w:rsidRPr="00047268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4EFE">
              <w:rPr>
                <w:rFonts w:ascii="Times New Roman" w:hAnsi="Times New Roman" w:cs="Times New Roman"/>
                <w:b/>
              </w:rPr>
              <w:t xml:space="preserve">.05 - 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</w:tc>
        <w:tc>
          <w:tcPr>
            <w:tcW w:w="2741" w:type="dxa"/>
          </w:tcPr>
          <w:p w:rsidR="00047268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54EF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  <w:p w:rsidR="00467386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54EF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  <w:p w:rsidR="00467386" w:rsidRPr="00047268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754EF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</w:tc>
        <w:tc>
          <w:tcPr>
            <w:tcW w:w="2741" w:type="dxa"/>
          </w:tcPr>
          <w:p w:rsidR="00047268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754EF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  <w:p w:rsidR="00467386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754EF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  <w:p w:rsidR="00467386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754EFE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754E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  <w:p w:rsidR="00467386" w:rsidRPr="00047268" w:rsidRDefault="00467386" w:rsidP="000472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11.10 - 12.10</w:t>
            </w:r>
            <w:r w:rsidRPr="00754EFE">
              <w:rPr>
                <w:rFonts w:ascii="Times New Roman" w:hAnsi="Times New Roman" w:cs="Times New Roman"/>
                <w:b/>
              </w:rPr>
              <w:t>.25</w:t>
            </w:r>
          </w:p>
        </w:tc>
      </w:tr>
    </w:tbl>
    <w:p w:rsidR="00047268" w:rsidRDefault="00047268" w:rsidP="00047268">
      <w:pPr>
        <w:pStyle w:val="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</w:p>
    <w:p w:rsidR="00047268" w:rsidRPr="00047268" w:rsidRDefault="00047268" w:rsidP="00047268">
      <w:pPr>
        <w:pStyle w:val="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047268">
        <w:rPr>
          <w:rFonts w:ascii="Times New Roman" w:hAnsi="Times New Roman" w:cs="Times New Roman"/>
          <w:color w:val="auto"/>
          <w:sz w:val="22"/>
          <w:szCs w:val="22"/>
        </w:rPr>
        <w:t>Программа тура</w:t>
      </w:r>
    </w:p>
    <w:p w:rsidR="00047268" w:rsidRPr="00047268" w:rsidRDefault="00047268" w:rsidP="00047268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047268">
        <w:rPr>
          <w:rFonts w:ascii="Times New Roman" w:hAnsi="Times New Roman" w:cs="Times New Roman"/>
          <w:color w:val="auto"/>
        </w:rPr>
        <w:t xml:space="preserve">1 день. </w:t>
      </w:r>
      <w:proofErr w:type="spellStart"/>
      <w:r w:rsidRPr="00047268">
        <w:rPr>
          <w:rFonts w:ascii="Times New Roman" w:hAnsi="Times New Roman" w:cs="Times New Roman"/>
          <w:color w:val="auto"/>
        </w:rPr>
        <w:t>Гдов</w:t>
      </w:r>
      <w:proofErr w:type="spellEnd"/>
      <w:r w:rsidRPr="00047268">
        <w:rPr>
          <w:rFonts w:ascii="Times New Roman" w:hAnsi="Times New Roman" w:cs="Times New Roman"/>
          <w:color w:val="auto"/>
        </w:rPr>
        <w:t xml:space="preserve"> - </w:t>
      </w:r>
      <w:proofErr w:type="spellStart"/>
      <w:r w:rsidRPr="00047268">
        <w:rPr>
          <w:rFonts w:ascii="Times New Roman" w:hAnsi="Times New Roman" w:cs="Times New Roman"/>
          <w:color w:val="auto"/>
        </w:rPr>
        <w:t>Самолва</w:t>
      </w:r>
      <w:proofErr w:type="spellEnd"/>
      <w:r w:rsidRPr="00047268">
        <w:rPr>
          <w:rFonts w:ascii="Times New Roman" w:hAnsi="Times New Roman" w:cs="Times New Roman"/>
          <w:color w:val="auto"/>
        </w:rPr>
        <w:t xml:space="preserve"> - Псков</w:t>
      </w:r>
    </w:p>
    <w:p w:rsidR="00047268" w:rsidRPr="00047268" w:rsidRDefault="00442BA0" w:rsidP="00047268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07:15</w:t>
      </w:r>
      <w:r w:rsidR="00047268" w:rsidRPr="00047268">
        <w:rPr>
          <w:sz w:val="22"/>
          <w:szCs w:val="22"/>
        </w:rPr>
        <w:t xml:space="preserve"> Отправление автобуса из Санкт-Петербурга от </w:t>
      </w:r>
      <w:proofErr w:type="spellStart"/>
      <w:r w:rsidR="00047268" w:rsidRPr="00047268">
        <w:rPr>
          <w:sz w:val="22"/>
          <w:szCs w:val="22"/>
        </w:rPr>
        <w:t>ст.м</w:t>
      </w:r>
      <w:proofErr w:type="spellEnd"/>
      <w:r w:rsidR="00047268" w:rsidRPr="00047268">
        <w:rPr>
          <w:sz w:val="22"/>
          <w:szCs w:val="22"/>
        </w:rPr>
        <w:t>. «Московская», Демонстрационный проезд.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047268">
        <w:rPr>
          <w:sz w:val="22"/>
          <w:szCs w:val="22"/>
        </w:rPr>
        <w:t xml:space="preserve">Экскурсия по трассе. Прибытие в </w:t>
      </w:r>
      <w:proofErr w:type="spellStart"/>
      <w:r w:rsidRPr="00047268">
        <w:rPr>
          <w:rStyle w:val="text-strong"/>
          <w:rFonts w:eastAsiaTheme="majorEastAsia"/>
          <w:sz w:val="22"/>
          <w:szCs w:val="22"/>
        </w:rPr>
        <w:t>Гдов</w:t>
      </w:r>
      <w:proofErr w:type="spellEnd"/>
      <w:r w:rsidRPr="00047268">
        <w:rPr>
          <w:sz w:val="22"/>
          <w:szCs w:val="22"/>
        </w:rPr>
        <w:t xml:space="preserve">.  </w:t>
      </w:r>
      <w:r w:rsidRPr="00047268">
        <w:rPr>
          <w:rStyle w:val="text-strong"/>
          <w:rFonts w:eastAsiaTheme="majorEastAsia"/>
          <w:sz w:val="22"/>
          <w:szCs w:val="22"/>
        </w:rPr>
        <w:t xml:space="preserve">11.30-13.00 </w:t>
      </w:r>
      <w:r w:rsidRPr="00047268">
        <w:rPr>
          <w:rStyle w:val="text-strong"/>
          <w:rFonts w:eastAsiaTheme="majorEastAsia"/>
          <w:b/>
          <w:sz w:val="22"/>
          <w:szCs w:val="22"/>
        </w:rPr>
        <w:t>Обзорная экскурсия по городу.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rStyle w:val="text-strong"/>
          <w:rFonts w:eastAsiaTheme="majorEastAsia"/>
          <w:sz w:val="22"/>
          <w:szCs w:val="22"/>
        </w:rPr>
        <w:t xml:space="preserve">Осмотр руин </w:t>
      </w:r>
      <w:proofErr w:type="spellStart"/>
      <w:r w:rsidRPr="00047268">
        <w:rPr>
          <w:rStyle w:val="text-strong"/>
          <w:rFonts w:eastAsiaTheme="majorEastAsia"/>
          <w:b/>
          <w:sz w:val="22"/>
          <w:szCs w:val="22"/>
        </w:rPr>
        <w:t>Гдовской</w:t>
      </w:r>
      <w:proofErr w:type="spellEnd"/>
      <w:r w:rsidRPr="00047268">
        <w:rPr>
          <w:rStyle w:val="text-strong"/>
          <w:rFonts w:eastAsiaTheme="majorEastAsia"/>
          <w:b/>
          <w:sz w:val="22"/>
          <w:szCs w:val="22"/>
        </w:rPr>
        <w:t xml:space="preserve"> крепости с посещением Свято-Державного Дмитриевского собора</w:t>
      </w:r>
      <w:r w:rsidRPr="00047268">
        <w:rPr>
          <w:rStyle w:val="text-strong"/>
          <w:rFonts w:eastAsiaTheme="majorEastAsia"/>
          <w:sz w:val="22"/>
          <w:szCs w:val="22"/>
        </w:rPr>
        <w:t>.</w:t>
      </w:r>
      <w:r w:rsidRPr="00047268">
        <w:rPr>
          <w:sz w:val="22"/>
          <w:szCs w:val="22"/>
        </w:rPr>
        <w:t xml:space="preserve"> Земля псковская богата крепостями. Крепость </w:t>
      </w:r>
      <w:proofErr w:type="spellStart"/>
      <w:r w:rsidRPr="00047268">
        <w:rPr>
          <w:sz w:val="22"/>
          <w:szCs w:val="22"/>
        </w:rPr>
        <w:t>Гдов</w:t>
      </w:r>
      <w:proofErr w:type="spellEnd"/>
      <w:r w:rsidRPr="00047268">
        <w:rPr>
          <w:sz w:val="22"/>
          <w:szCs w:val="22"/>
        </w:rPr>
        <w:t xml:space="preserve"> находится неподалеку от Чудского озера, она всегда одной из первых принимала удары рыцарских полков. Сейчас от былого величия остались лишь небольшие участки каменной кладки, по которым видно, как строили в те времена. Сегодня вы уже не увидите высоких и мощных крепостных стен. Увы, их не пощадило время. 17 век — нашествие шведов, пожар, 18 век — часть стен разобрали горожане, 20 век — немецкие захватчики, отступая, взорвали храм и саму крепость, пытаясь уничтожить память о славной истории России. Храм восстановили в 90-х гг. 20 века, но освятили его под именем Державной Божией Матери — он действующий. За счет того, что при строительстве применяли средневековые технологии, он не выглядит </w:t>
      </w:r>
      <w:proofErr w:type="spellStart"/>
      <w:r w:rsidRPr="00047268">
        <w:rPr>
          <w:sz w:val="22"/>
          <w:szCs w:val="22"/>
        </w:rPr>
        <w:t>новоделом</w:t>
      </w:r>
      <w:proofErr w:type="spellEnd"/>
      <w:r w:rsidRPr="00047268">
        <w:rPr>
          <w:sz w:val="22"/>
          <w:szCs w:val="22"/>
        </w:rPr>
        <w:t>. Стиль храма соответствует традиции псковских мастеров.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rStyle w:val="a4"/>
          <w:rFonts w:eastAsiaTheme="majorEastAsia"/>
          <w:sz w:val="22"/>
          <w:szCs w:val="22"/>
        </w:rPr>
        <w:t>По желанию  за дополнительную плату обед в кафе.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sz w:val="22"/>
          <w:szCs w:val="22"/>
        </w:rPr>
        <w:t xml:space="preserve">Переезд в </w:t>
      </w:r>
      <w:r w:rsidRPr="00047268">
        <w:rPr>
          <w:b/>
          <w:sz w:val="22"/>
          <w:szCs w:val="22"/>
        </w:rPr>
        <w:t xml:space="preserve">деревню </w:t>
      </w:r>
      <w:proofErr w:type="spellStart"/>
      <w:r w:rsidRPr="00047268">
        <w:rPr>
          <w:rStyle w:val="text-strong"/>
          <w:rFonts w:eastAsiaTheme="majorEastAsia"/>
          <w:b/>
          <w:sz w:val="22"/>
          <w:szCs w:val="22"/>
        </w:rPr>
        <w:t>Самолва</w:t>
      </w:r>
      <w:proofErr w:type="spellEnd"/>
      <w:r w:rsidRPr="00047268">
        <w:rPr>
          <w:sz w:val="22"/>
          <w:szCs w:val="22"/>
        </w:rPr>
        <w:t>.</w:t>
      </w:r>
      <w:r w:rsidRPr="00047268">
        <w:rPr>
          <w:rStyle w:val="text-strong"/>
          <w:rFonts w:eastAsiaTheme="majorEastAsia"/>
          <w:sz w:val="22"/>
          <w:szCs w:val="22"/>
        </w:rPr>
        <w:t xml:space="preserve"> Посещение </w:t>
      </w:r>
      <w:r w:rsidRPr="00047268">
        <w:rPr>
          <w:rStyle w:val="text-strong"/>
          <w:rFonts w:eastAsiaTheme="majorEastAsia"/>
          <w:b/>
          <w:sz w:val="22"/>
          <w:szCs w:val="22"/>
        </w:rPr>
        <w:t>музея «Ледовое побоище</w:t>
      </w:r>
      <w:r w:rsidRPr="00047268">
        <w:rPr>
          <w:rStyle w:val="text-strong"/>
          <w:rFonts w:eastAsiaTheme="majorEastAsia"/>
          <w:sz w:val="22"/>
          <w:szCs w:val="22"/>
        </w:rPr>
        <w:t xml:space="preserve"> </w:t>
      </w:r>
      <w:proofErr w:type="spellStart"/>
      <w:r w:rsidRPr="00047268">
        <w:rPr>
          <w:rStyle w:val="text-strong"/>
          <w:rFonts w:eastAsiaTheme="majorEastAsia"/>
          <w:b/>
          <w:sz w:val="22"/>
          <w:szCs w:val="22"/>
        </w:rPr>
        <w:t>Самолва</w:t>
      </w:r>
      <w:proofErr w:type="spellEnd"/>
      <w:r w:rsidRPr="00047268">
        <w:rPr>
          <w:rStyle w:val="text-strong"/>
          <w:rFonts w:eastAsiaTheme="majorEastAsia"/>
          <w:b/>
          <w:sz w:val="22"/>
          <w:szCs w:val="22"/>
        </w:rPr>
        <w:t>»</w:t>
      </w:r>
      <w:r w:rsidRPr="00047268">
        <w:rPr>
          <w:b/>
          <w:sz w:val="22"/>
          <w:szCs w:val="22"/>
        </w:rPr>
        <w:t>.</w:t>
      </w:r>
      <w:r w:rsidRPr="00047268">
        <w:rPr>
          <w:sz w:val="22"/>
          <w:szCs w:val="22"/>
        </w:rPr>
        <w:t xml:space="preserve"> Сотрудники Музея познакомят посетителей с историей экспедиции АН СССР по уточнению места Ледового побоища, расскажут о легендарном сражении 1242 года на берегу Чудского озера!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rStyle w:val="text-strong"/>
          <w:rFonts w:eastAsiaTheme="majorEastAsia"/>
          <w:sz w:val="22"/>
          <w:szCs w:val="22"/>
        </w:rPr>
        <w:t xml:space="preserve">Осмотр </w:t>
      </w:r>
      <w:r w:rsidRPr="00047268">
        <w:rPr>
          <w:rStyle w:val="text-strong"/>
          <w:rFonts w:eastAsiaTheme="majorEastAsia"/>
          <w:b/>
          <w:sz w:val="22"/>
          <w:szCs w:val="22"/>
        </w:rPr>
        <w:t>мемориального комплекса «Александр Невский с дружиной».</w:t>
      </w:r>
      <w:r w:rsidRPr="00047268">
        <w:rPr>
          <w:sz w:val="22"/>
          <w:szCs w:val="22"/>
        </w:rPr>
        <w:t xml:space="preserve"> Мемориальный комплекс открыли 11 сентября 2021 года. Открытие мемориала приурочено к празднованию 800-летия со дня рождения святого благоверного князя Александра Невского. Это 15-метровая скульптура на насыпном шестиметровом кургане, включающая девять фигур воинов (три конные и шесть пеших), под ногами которых — доспехи поверженного врага.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rStyle w:val="text-strong"/>
          <w:rFonts w:eastAsiaTheme="majorEastAsia"/>
          <w:sz w:val="22"/>
          <w:szCs w:val="22"/>
        </w:rPr>
        <w:t xml:space="preserve">Посещение </w:t>
      </w:r>
      <w:proofErr w:type="spellStart"/>
      <w:r w:rsidRPr="00047268">
        <w:rPr>
          <w:rStyle w:val="text-strong"/>
          <w:rFonts w:eastAsiaTheme="majorEastAsia"/>
          <w:b/>
          <w:sz w:val="22"/>
          <w:szCs w:val="22"/>
        </w:rPr>
        <w:t>Спасо-Елеазаровского</w:t>
      </w:r>
      <w:proofErr w:type="spellEnd"/>
      <w:r w:rsidRPr="00047268">
        <w:rPr>
          <w:rStyle w:val="text-strong"/>
          <w:rFonts w:eastAsiaTheme="majorEastAsia"/>
          <w:b/>
          <w:sz w:val="22"/>
          <w:szCs w:val="22"/>
        </w:rPr>
        <w:t xml:space="preserve"> монастыря</w:t>
      </w:r>
      <w:r w:rsidRPr="00047268">
        <w:rPr>
          <w:rStyle w:val="text-strong"/>
          <w:rFonts w:eastAsiaTheme="majorEastAsia"/>
          <w:sz w:val="22"/>
          <w:szCs w:val="22"/>
        </w:rPr>
        <w:t>.</w:t>
      </w:r>
      <w:r w:rsidRPr="00047268">
        <w:rPr>
          <w:sz w:val="22"/>
          <w:szCs w:val="22"/>
        </w:rPr>
        <w:t xml:space="preserve"> </w:t>
      </w:r>
      <w:proofErr w:type="spellStart"/>
      <w:r w:rsidRPr="00047268">
        <w:rPr>
          <w:sz w:val="22"/>
          <w:szCs w:val="22"/>
        </w:rPr>
        <w:t>Спасо-Елеазаровский</w:t>
      </w:r>
      <w:proofErr w:type="spellEnd"/>
      <w:r w:rsidRPr="00047268">
        <w:rPr>
          <w:sz w:val="22"/>
          <w:szCs w:val="22"/>
        </w:rPr>
        <w:t xml:space="preserve"> монастырь в деревне Елизарово – одна из главных святынь Псковской земли. Маленький, среди непроходимых лесов основанный преподобным </w:t>
      </w:r>
      <w:proofErr w:type="spellStart"/>
      <w:r w:rsidRPr="00047268">
        <w:rPr>
          <w:sz w:val="22"/>
          <w:szCs w:val="22"/>
        </w:rPr>
        <w:t>Евфросином</w:t>
      </w:r>
      <w:proofErr w:type="spellEnd"/>
      <w:r w:rsidRPr="00047268">
        <w:rPr>
          <w:sz w:val="22"/>
          <w:szCs w:val="22"/>
        </w:rPr>
        <w:t xml:space="preserve">, </w:t>
      </w:r>
      <w:proofErr w:type="spellStart"/>
      <w:r w:rsidRPr="00047268">
        <w:rPr>
          <w:sz w:val="22"/>
          <w:szCs w:val="22"/>
        </w:rPr>
        <w:t>Спасо-Елеазаровский</w:t>
      </w:r>
      <w:proofErr w:type="spellEnd"/>
      <w:r w:rsidRPr="00047268">
        <w:rPr>
          <w:sz w:val="22"/>
          <w:szCs w:val="22"/>
        </w:rPr>
        <w:t xml:space="preserve"> монастырь во все века привлекал к себе внимание, потому что жили здесь монахи-подвижники, жили монахи-ученые, </w:t>
      </w:r>
      <w:proofErr w:type="gramStart"/>
      <w:r w:rsidRPr="00047268">
        <w:rPr>
          <w:sz w:val="22"/>
          <w:szCs w:val="22"/>
        </w:rPr>
        <w:t>жили духовные старцы…Монастырь был</w:t>
      </w:r>
      <w:proofErr w:type="gramEnd"/>
      <w:r w:rsidRPr="00047268">
        <w:rPr>
          <w:sz w:val="22"/>
          <w:szCs w:val="22"/>
        </w:rPr>
        <w:t xml:space="preserve"> местом подвига монашествующих и спасения мирян. Неведомое миру монашеское служение, молитвенное делание известных и безвестных подвижников не было забыто. Вновь затеплилась монашеская жизнь в Елизарове, и в 2000 году древний </w:t>
      </w:r>
      <w:proofErr w:type="spellStart"/>
      <w:r w:rsidRPr="00047268">
        <w:rPr>
          <w:sz w:val="22"/>
          <w:szCs w:val="22"/>
        </w:rPr>
        <w:t>Спасо-Елеазаровский</w:t>
      </w:r>
      <w:proofErr w:type="spellEnd"/>
      <w:r w:rsidRPr="00047268">
        <w:rPr>
          <w:sz w:val="22"/>
          <w:szCs w:val="22"/>
        </w:rPr>
        <w:t xml:space="preserve"> монастырь стал возрождаться как женская обитель. Ныне, после упразднения и разорения, он вновь обретает свое прежнее значение.</w:t>
      </w:r>
    </w:p>
    <w:p w:rsidR="00047268" w:rsidRPr="00047268" w:rsidRDefault="00047268" w:rsidP="0004726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sz w:val="22"/>
          <w:szCs w:val="22"/>
        </w:rPr>
        <w:t xml:space="preserve">Прибытие в </w:t>
      </w:r>
      <w:r w:rsidRPr="00047268">
        <w:rPr>
          <w:rStyle w:val="text-strong"/>
          <w:rFonts w:eastAsiaTheme="majorEastAsia"/>
          <w:sz w:val="22"/>
          <w:szCs w:val="22"/>
        </w:rPr>
        <w:t>Псков</w:t>
      </w:r>
      <w:r w:rsidRPr="00047268">
        <w:rPr>
          <w:sz w:val="22"/>
          <w:szCs w:val="22"/>
        </w:rPr>
        <w:t xml:space="preserve">. В месте слияния рек Великая и Пскова стоит высокая скала, на которой в начале 10 века был построен Кремль. </w:t>
      </w:r>
      <w:r w:rsidRPr="00047268">
        <w:rPr>
          <w:rStyle w:val="text-strong"/>
          <w:rFonts w:eastAsiaTheme="majorEastAsia"/>
          <w:b/>
          <w:sz w:val="22"/>
          <w:szCs w:val="22"/>
        </w:rPr>
        <w:t>Небольшая вечерняя автобусная обзорная</w:t>
      </w:r>
      <w:r w:rsidRPr="00047268">
        <w:rPr>
          <w:rStyle w:val="text-strong"/>
          <w:rFonts w:eastAsiaTheme="majorEastAsia"/>
          <w:sz w:val="22"/>
          <w:szCs w:val="22"/>
        </w:rPr>
        <w:t xml:space="preserve"> экскурсия по городу.</w:t>
      </w:r>
      <w:r w:rsidRPr="00047268">
        <w:rPr>
          <w:sz w:val="22"/>
          <w:szCs w:val="22"/>
        </w:rPr>
        <w:t xml:space="preserve"> Размещение в гостинице. Свободное время.</w:t>
      </w:r>
    </w:p>
    <w:p w:rsidR="00047268" w:rsidRPr="00047268" w:rsidRDefault="00047268" w:rsidP="00047268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047268">
        <w:rPr>
          <w:rFonts w:ascii="Times New Roman" w:hAnsi="Times New Roman" w:cs="Times New Roman"/>
          <w:color w:val="auto"/>
        </w:rPr>
        <w:t xml:space="preserve">2 день. Псков - Себеж - </w:t>
      </w:r>
      <w:proofErr w:type="spellStart"/>
      <w:r w:rsidRPr="00047268">
        <w:rPr>
          <w:rFonts w:ascii="Times New Roman" w:hAnsi="Times New Roman" w:cs="Times New Roman"/>
          <w:color w:val="auto"/>
        </w:rPr>
        <w:t>Ореховно</w:t>
      </w:r>
      <w:proofErr w:type="spellEnd"/>
    </w:p>
    <w:p w:rsidR="000C55A7" w:rsidRP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0C55A7">
        <w:rPr>
          <w:rFonts w:ascii="Times New Roman" w:eastAsia="Times New Roman" w:hAnsi="Times New Roman"/>
          <w:bCs/>
          <w:u w:val="single"/>
          <w:lang w:eastAsia="ru-RU"/>
        </w:rPr>
        <w:t>Завтрак.</w:t>
      </w:r>
    </w:p>
    <w:p w:rsid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08:00 переезд в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Ореховно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>. Посещение усадьбы «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Ореховно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>».</w:t>
      </w:r>
    </w:p>
    <w:p w:rsid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Усадьба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Ореховно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– первый и единственный европейский сад в России, который, несмотря на статус частного владения, открыт для публики. Усадьба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Ореховно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, расположенная в деревне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Ореховно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в Псковской области, принадлежит ландшафтному архитектору Александру Гривко, автору частных и открытых для публики садов в России и Европе. Александр проводил здесь детство, и его мама, влюбленная в родные псковские пейзажи, заронила в сыне интерес к природе и растениям. По прошествии лет известный ландшафтный архитектор вернется к берегам реки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Ореховницы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, чтобы посадить сад в память о рано ушедшей маме.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Ореховно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входит в список </w:t>
      </w:r>
      <w:r>
        <w:rPr>
          <w:rFonts w:ascii="Times New Roman" w:eastAsia="Times New Roman" w:hAnsi="Times New Roman"/>
          <w:bCs/>
          <w:lang w:eastAsia="ru-RU"/>
        </w:rPr>
        <w:lastRenderedPageBreak/>
        <w:t xml:space="preserve">псковских дворянских усадеб проекта развития культурно-познавательного туризма «Русские усадьбы», а также внесен в список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Great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Gardens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of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the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World</w:t>
      </w:r>
      <w:proofErr w:type="spellEnd"/>
      <w:r>
        <w:rPr>
          <w:rFonts w:ascii="Times New Roman" w:eastAsia="Times New Roman" w:hAnsi="Times New Roman"/>
          <w:bCs/>
          <w:lang w:eastAsia="ru-RU"/>
        </w:rPr>
        <w:t>.</w:t>
      </w:r>
    </w:p>
    <w:p w:rsid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C55A7">
        <w:rPr>
          <w:rFonts w:ascii="Times New Roman" w:eastAsia="Times New Roman" w:hAnsi="Times New Roman"/>
          <w:bCs/>
          <w:lang w:eastAsia="ru-RU"/>
        </w:rPr>
        <w:t>Переезд в</w:t>
      </w:r>
      <w:r>
        <w:rPr>
          <w:rFonts w:ascii="Times New Roman" w:eastAsia="Times New Roman" w:hAnsi="Times New Roman"/>
          <w:b/>
          <w:bCs/>
          <w:lang w:eastAsia="ru-RU"/>
        </w:rPr>
        <w:t xml:space="preserve"> Себеж.</w:t>
      </w:r>
    </w:p>
    <w:p w:rsidR="000C55A7" w:rsidRP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0C55A7">
        <w:rPr>
          <w:rFonts w:ascii="Times New Roman" w:eastAsia="Times New Roman" w:hAnsi="Times New Roman"/>
          <w:bCs/>
          <w:i/>
          <w:lang w:eastAsia="ru-RU"/>
        </w:rPr>
        <w:t>Обед в кафе (за доп. плату, по желанию).</w:t>
      </w:r>
    </w:p>
    <w:p w:rsidR="000C55A7" w:rsidRP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Обзорная экскурсия по старому городу (пешеходная). </w:t>
      </w:r>
      <w:r>
        <w:rPr>
          <w:rFonts w:ascii="Times New Roman" w:eastAsia="Times New Roman" w:hAnsi="Times New Roman"/>
          <w:bCs/>
          <w:lang w:eastAsia="ru-RU"/>
        </w:rPr>
        <w:t xml:space="preserve">Себеж – пограничный город, не раз переходивший из рук в руки, но сохранивший историческую застройку. Здесь можно увидеть костёл XVI века, полюбоваться просторами </w:t>
      </w:r>
      <w:proofErr w:type="spellStart"/>
      <w:r>
        <w:rPr>
          <w:rFonts w:ascii="Times New Roman" w:eastAsia="Times New Roman" w:hAnsi="Times New Roman"/>
          <w:bCs/>
          <w:lang w:eastAsia="ru-RU"/>
        </w:rPr>
        <w:t>Себежского</w:t>
      </w:r>
      <w:proofErr w:type="spellEnd"/>
      <w:r>
        <w:rPr>
          <w:rFonts w:ascii="Times New Roman" w:eastAsia="Times New Roman" w:hAnsi="Times New Roman"/>
          <w:bCs/>
          <w:lang w:eastAsia="ru-RU"/>
        </w:rPr>
        <w:t xml:space="preserve"> озера с Замковой горы, пройтись по улице XIX века, подняться на редут Петра, услышать много интересных историй.</w:t>
      </w:r>
    </w:p>
    <w:p w:rsidR="000C55A7" w:rsidRP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C55A7">
        <w:rPr>
          <w:rFonts w:ascii="Times New Roman" w:eastAsia="Times New Roman" w:hAnsi="Times New Roman"/>
          <w:bCs/>
          <w:lang w:eastAsia="ru-RU"/>
        </w:rPr>
        <w:t>16:00 отправление в Санкт-Петербург.</w:t>
      </w:r>
    </w:p>
    <w:p w:rsidR="003152B0" w:rsidRPr="000C55A7" w:rsidRDefault="000C55A7" w:rsidP="000C5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C55A7">
        <w:rPr>
          <w:rFonts w:ascii="Times New Roman" w:eastAsia="Times New Roman" w:hAnsi="Times New Roman"/>
          <w:bCs/>
          <w:lang w:eastAsia="ru-RU"/>
        </w:rPr>
        <w:t>Ориентировочное время прибытия 23:30–00:30.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7"/>
        <w:gridCol w:w="3418"/>
      </w:tblGrid>
      <w:tr w:rsidR="003152B0" w:rsidTr="000C55A7">
        <w:trPr>
          <w:trHeight w:val="390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2B0" w:rsidRPr="003152B0" w:rsidRDefault="003152B0" w:rsidP="000C55A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152B0">
              <w:rPr>
                <w:rStyle w:val="text-strong"/>
                <w:b/>
              </w:rPr>
              <w:t>Стоимость тура на человека в рублях:</w:t>
            </w:r>
          </w:p>
        </w:tc>
      </w:tr>
      <w:tr w:rsidR="003152B0" w:rsidTr="000C55A7">
        <w:tc>
          <w:tcPr>
            <w:tcW w:w="9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52B0" w:rsidRPr="003152B0" w:rsidRDefault="003152B0" w:rsidP="000C55A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152B0">
              <w:rPr>
                <w:rStyle w:val="text-strong"/>
                <w:b/>
              </w:rPr>
              <w:t>Гостиница «Рижская» 3* г. Псков</w:t>
            </w:r>
          </w:p>
        </w:tc>
      </w:tr>
      <w:tr w:rsidR="003152B0" w:rsidTr="000C55A7"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2B0" w:rsidRDefault="003152B0" w:rsidP="000C55A7">
            <w:pPr>
              <w:pStyle w:val="a3"/>
              <w:spacing w:before="0" w:beforeAutospacing="0" w:after="0" w:afterAutospacing="0"/>
            </w:pPr>
            <w:r>
              <w:t>2-х местный номер «стандарт»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52B0" w:rsidRPr="003152B0" w:rsidRDefault="000C55A7" w:rsidP="000C55A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14 900</w:t>
            </w:r>
          </w:p>
        </w:tc>
      </w:tr>
      <w:tr w:rsidR="003152B0" w:rsidTr="000C55A7"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2B0" w:rsidRDefault="003152B0" w:rsidP="000C55A7">
            <w:pPr>
              <w:pStyle w:val="a3"/>
              <w:spacing w:before="0" w:beforeAutospacing="0" w:after="0" w:afterAutospacing="0"/>
            </w:pPr>
            <w:r>
              <w:t>1-местный номер «стандарт»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52B0" w:rsidRPr="003152B0" w:rsidRDefault="000C55A7" w:rsidP="000C55A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15 500</w:t>
            </w:r>
          </w:p>
        </w:tc>
      </w:tr>
      <w:tr w:rsidR="003152B0" w:rsidTr="000C55A7"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2B0" w:rsidRDefault="003152B0" w:rsidP="000C55A7">
            <w:pPr>
              <w:pStyle w:val="a3"/>
              <w:spacing w:before="0" w:beforeAutospacing="0" w:after="0" w:afterAutospacing="0"/>
              <w:jc w:val="both"/>
            </w:pPr>
            <w:r>
              <w:t xml:space="preserve">2-х местный 2-комнатный номер «люкс» (двуспальная кровать)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52B0" w:rsidRPr="003152B0" w:rsidRDefault="000C55A7" w:rsidP="000C55A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15 700</w:t>
            </w:r>
          </w:p>
        </w:tc>
      </w:tr>
      <w:tr w:rsidR="003152B0" w:rsidTr="000C55A7"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2B0" w:rsidRDefault="003152B0">
            <w:pPr>
              <w:pStyle w:val="a3"/>
            </w:pPr>
            <w:r>
              <w:t>Дополнительное место в люксе (3-ий в номере)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152B0" w:rsidRPr="003152B0" w:rsidRDefault="000C55A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14 000</w:t>
            </w:r>
          </w:p>
        </w:tc>
      </w:tr>
      <w:tr w:rsidR="003152B0" w:rsidTr="000C55A7">
        <w:tc>
          <w:tcPr>
            <w:tcW w:w="9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2B0" w:rsidRDefault="003152B0">
            <w:pPr>
              <w:pStyle w:val="a3"/>
              <w:jc w:val="center"/>
            </w:pPr>
            <w:r>
              <w:t>Скидка на школьника до 16 лет – 400 рублей</w:t>
            </w:r>
          </w:p>
        </w:tc>
      </w:tr>
    </w:tbl>
    <w:p w:rsidR="00047268" w:rsidRPr="00047268" w:rsidRDefault="00047268" w:rsidP="00047268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047268">
        <w:rPr>
          <w:rFonts w:ascii="Times New Roman" w:hAnsi="Times New Roman" w:cs="Times New Roman"/>
          <w:color w:val="auto"/>
        </w:rPr>
        <w:t>В стоимость входит</w:t>
      </w:r>
    </w:p>
    <w:p w:rsidR="00047268" w:rsidRPr="00047268" w:rsidRDefault="00047268" w:rsidP="00047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47268">
        <w:rPr>
          <w:rFonts w:ascii="Times New Roman" w:hAnsi="Times New Roman" w:cs="Times New Roman"/>
        </w:rPr>
        <w:t xml:space="preserve">проживание в гостинице </w:t>
      </w:r>
      <w:r w:rsidR="000C55A7">
        <w:rPr>
          <w:rFonts w:ascii="Times New Roman" w:hAnsi="Times New Roman" w:cs="Times New Roman"/>
        </w:rPr>
        <w:t>"Рижская";</w:t>
      </w:r>
    </w:p>
    <w:p w:rsidR="00047268" w:rsidRPr="00047268" w:rsidRDefault="00047268" w:rsidP="00047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47268">
        <w:rPr>
          <w:rFonts w:ascii="Times New Roman" w:hAnsi="Times New Roman" w:cs="Times New Roman"/>
        </w:rPr>
        <w:t>питание: завтрак "шведский стол"</w:t>
      </w:r>
    </w:p>
    <w:p w:rsidR="00047268" w:rsidRPr="00047268" w:rsidRDefault="00047268" w:rsidP="00047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47268">
        <w:rPr>
          <w:rFonts w:ascii="Times New Roman" w:hAnsi="Times New Roman" w:cs="Times New Roman"/>
        </w:rPr>
        <w:t>автотранспортное обслуживание;</w:t>
      </w:r>
    </w:p>
    <w:p w:rsidR="00047268" w:rsidRPr="00047268" w:rsidRDefault="00047268" w:rsidP="00047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47268">
        <w:rPr>
          <w:rFonts w:ascii="Times New Roman" w:hAnsi="Times New Roman" w:cs="Times New Roman"/>
        </w:rPr>
        <w:t>экскурсионное обслуживание по программе с входными билетами;</w:t>
      </w:r>
    </w:p>
    <w:p w:rsidR="00047268" w:rsidRPr="00047268" w:rsidRDefault="00047268" w:rsidP="0004726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47268">
        <w:rPr>
          <w:rFonts w:ascii="Times New Roman" w:hAnsi="Times New Roman" w:cs="Times New Roman"/>
        </w:rPr>
        <w:t>услуги гида;</w:t>
      </w:r>
    </w:p>
    <w:p w:rsidR="00047268" w:rsidRPr="00047268" w:rsidRDefault="00047268" w:rsidP="00047268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047268">
        <w:rPr>
          <w:rFonts w:ascii="Times New Roman" w:hAnsi="Times New Roman" w:cs="Times New Roman"/>
          <w:color w:val="auto"/>
        </w:rPr>
        <w:t>В стоимость не входит</w:t>
      </w:r>
    </w:p>
    <w:p w:rsidR="00047268" w:rsidRPr="00047268" w:rsidRDefault="000C55A7" w:rsidP="000472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пакет питания (2 обеда): 14</w:t>
      </w:r>
      <w:r w:rsidR="00047268" w:rsidRPr="00047268">
        <w:rPr>
          <w:rFonts w:ascii="Times New Roman" w:hAnsi="Times New Roman" w:cs="Times New Roman"/>
        </w:rPr>
        <w:t>00 руб./чел. (заказ и оплата заранее при покупке тура).</w:t>
      </w:r>
    </w:p>
    <w:p w:rsidR="00C67DC4" w:rsidRDefault="00C67DC4" w:rsidP="00047268">
      <w:pPr>
        <w:spacing w:after="0"/>
        <w:rPr>
          <w:rFonts w:ascii="Times New Roman" w:hAnsi="Times New Roman" w:cs="Times New Roman"/>
        </w:rPr>
      </w:pPr>
    </w:p>
    <w:p w:rsidR="000C55A7" w:rsidRDefault="000C55A7" w:rsidP="000C55A7">
      <w:pPr>
        <w:spacing w:after="0" w:line="240" w:lineRule="auto"/>
        <w:ind w:left="-567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Комментарии к туру:</w:t>
      </w:r>
    </w:p>
    <w:p w:rsidR="000C55A7" w:rsidRDefault="000C55A7" w:rsidP="000C55A7">
      <w:pPr>
        <w:numPr>
          <w:ilvl w:val="0"/>
          <w:numId w:val="3"/>
        </w:numPr>
        <w:tabs>
          <w:tab w:val="clear" w:pos="720"/>
          <w:tab w:val="num" w:pos="1418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C55A7" w:rsidRDefault="000C55A7" w:rsidP="000C55A7">
      <w:pPr>
        <w:numPr>
          <w:ilvl w:val="0"/>
          <w:numId w:val="3"/>
        </w:numPr>
        <w:tabs>
          <w:tab w:val="clear" w:pos="720"/>
          <w:tab w:val="num" w:pos="1418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C55A7" w:rsidRDefault="000C55A7" w:rsidP="000C55A7">
      <w:pPr>
        <w:numPr>
          <w:ilvl w:val="0"/>
          <w:numId w:val="3"/>
        </w:numPr>
        <w:tabs>
          <w:tab w:val="clear" w:pos="720"/>
          <w:tab w:val="num" w:pos="1418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себе необходимо иметь паспорт, полис ОМС.</w:t>
      </w:r>
    </w:p>
    <w:p w:rsidR="000C55A7" w:rsidRDefault="000C55A7" w:rsidP="00047268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C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973D4"/>
    <w:multiLevelType w:val="hybridMultilevel"/>
    <w:tmpl w:val="B96E4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C03CAA"/>
    <w:multiLevelType w:val="multilevel"/>
    <w:tmpl w:val="0ADE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41834"/>
    <w:multiLevelType w:val="multilevel"/>
    <w:tmpl w:val="5E3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37"/>
    <w:rsid w:val="00047268"/>
    <w:rsid w:val="000C55A7"/>
    <w:rsid w:val="000E2EBD"/>
    <w:rsid w:val="003152B0"/>
    <w:rsid w:val="00442BA0"/>
    <w:rsid w:val="00467386"/>
    <w:rsid w:val="00860537"/>
    <w:rsid w:val="008E68EA"/>
    <w:rsid w:val="009F6471"/>
    <w:rsid w:val="00BF4FFD"/>
    <w:rsid w:val="00C6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0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7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strong">
    <w:name w:val="text-strong"/>
    <w:basedOn w:val="a0"/>
    <w:rsid w:val="00047268"/>
  </w:style>
  <w:style w:type="character" w:styleId="a4">
    <w:name w:val="Emphasis"/>
    <w:basedOn w:val="a0"/>
    <w:uiPriority w:val="20"/>
    <w:qFormat/>
    <w:rsid w:val="00047268"/>
    <w:rPr>
      <w:i/>
      <w:iCs/>
    </w:rPr>
  </w:style>
  <w:style w:type="table" w:styleId="a5">
    <w:name w:val="Table Grid"/>
    <w:basedOn w:val="a1"/>
    <w:uiPriority w:val="59"/>
    <w:rsid w:val="00047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info">
    <w:name w:val="text-info"/>
    <w:basedOn w:val="a"/>
    <w:rsid w:val="008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0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7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strong">
    <w:name w:val="text-strong"/>
    <w:basedOn w:val="a0"/>
    <w:rsid w:val="00047268"/>
  </w:style>
  <w:style w:type="character" w:styleId="a4">
    <w:name w:val="Emphasis"/>
    <w:basedOn w:val="a0"/>
    <w:uiPriority w:val="20"/>
    <w:qFormat/>
    <w:rsid w:val="00047268"/>
    <w:rPr>
      <w:i/>
      <w:iCs/>
    </w:rPr>
  </w:style>
  <w:style w:type="table" w:styleId="a5">
    <w:name w:val="Table Grid"/>
    <w:basedOn w:val="a1"/>
    <w:uiPriority w:val="59"/>
    <w:rsid w:val="00047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info">
    <w:name w:val="text-info"/>
    <w:basedOn w:val="a"/>
    <w:rsid w:val="008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10</cp:revision>
  <dcterms:created xsi:type="dcterms:W3CDTF">2023-12-07T09:46:00Z</dcterms:created>
  <dcterms:modified xsi:type="dcterms:W3CDTF">2025-02-14T15:16:00Z</dcterms:modified>
</cp:coreProperties>
</file>